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shd w:val="clear" w:color="auto" w:fill="FFFFFF"/>
        </w:rPr>
      </w:pPr>
    </w:p>
    <w:p>
      <w:pPr>
        <w:ind w:firstLine="480"/>
      </w:pPr>
    </w:p>
    <w:p>
      <w:pPr>
        <w:pStyle w:val="2"/>
        <w:jc w:val="center"/>
      </w:pPr>
      <w:r>
        <w:t>跨境毒品販運分析與打擊對策</w:t>
      </w:r>
    </w:p>
    <w:p>
      <w:pPr>
        <w:pStyle w:val="3"/>
      </w:pPr>
      <w:r>
        <w:t>孟維德</w:t>
      </w:r>
      <w:r>
        <w:rPr>
          <w:rStyle w:val="45"/>
          <w:rFonts w:eastAsia="MingLiU"/>
          <w:b/>
          <w:color w:val="FFFFFF"/>
          <w:szCs w:val="24"/>
        </w:rPr>
        <w:footnoteReference w:id="0"/>
      </w:r>
    </w:p>
    <w:p>
      <w:pPr>
        <w:ind w:left="480" w:leftChars="200" w:right="480" w:rightChars="200" w:firstLine="482"/>
        <w:rPr>
          <w:rFonts w:ascii="楷体" w:hAnsi="楷体" w:eastAsia="楷体"/>
          <w:bCs/>
          <w:kern w:val="0"/>
        </w:rPr>
      </w:pPr>
      <w:r>
        <w:rPr>
          <w:rStyle w:val="38"/>
          <w:rFonts w:hint="eastAsia" w:ascii="黑体" w:hAnsi="黑体" w:eastAsia="黑体"/>
          <w:lang w:eastAsia="zh-TW"/>
        </w:rPr>
        <w:t>摘</w:t>
      </w:r>
      <w:r>
        <w:rPr>
          <w:rStyle w:val="38"/>
          <w:rFonts w:hint="eastAsia" w:ascii="黑体" w:hAnsi="黑体" w:eastAsia="黑体"/>
        </w:rPr>
        <w:t xml:space="preserve">  </w:t>
      </w:r>
      <w:r>
        <w:rPr>
          <w:rStyle w:val="38"/>
          <w:rFonts w:hint="eastAsia" w:ascii="黑体" w:hAnsi="黑体" w:eastAsia="黑体"/>
          <w:lang w:eastAsia="zh-TW"/>
        </w:rPr>
        <w:t>要</w:t>
      </w:r>
      <w:r>
        <w:rPr>
          <w:rStyle w:val="38"/>
          <w:rFonts w:hint="eastAsia" w:ascii="黑体" w:hAnsi="黑体" w:eastAsia="黑体"/>
          <w:lang w:val="en-US" w:eastAsia="zh-CN"/>
        </w:rPr>
        <w:t xml:space="preserve">  </w:t>
      </w:r>
      <w:r>
        <w:rPr>
          <w:rFonts w:ascii="楷体" w:hAnsi="楷体" w:eastAsia="楷体"/>
          <w:bCs/>
          <w:kern w:val="0"/>
        </w:rPr>
        <w:t>伴隨兩岸頻繁互動與交流所衍生的諸項跨境犯罪中，跨境毒品販運可謂是案件數量龐大、損害嚴重的一類，</w:t>
      </w:r>
      <w:r>
        <w:rPr>
          <w:rFonts w:hint="eastAsia" w:ascii="楷体" w:hAnsi="楷体" w:eastAsia="楷体"/>
          <w:bCs/>
          <w:kern w:val="0"/>
        </w:rPr>
        <w:t>故</w:t>
      </w:r>
      <w:r>
        <w:rPr>
          <w:rFonts w:ascii="楷体" w:hAnsi="楷体" w:eastAsia="楷体"/>
          <w:bCs/>
          <w:kern w:val="0"/>
        </w:rPr>
        <w:t>本文以跨境毒品販運與打擊對策做為主題。本文從臺灣地區跨境毒品販運現象出發，蒐集與分析</w:t>
      </w:r>
      <w:r>
        <w:rPr>
          <w:rFonts w:hint="eastAsia" w:ascii="楷体" w:hAnsi="楷体" w:eastAsia="楷体"/>
          <w:bCs/>
          <w:kern w:val="0"/>
        </w:rPr>
        <w:t>近五年（</w:t>
      </w:r>
      <w:r>
        <w:rPr>
          <w:rFonts w:ascii="楷体" w:hAnsi="楷体" w:eastAsia="楷体"/>
          <w:bCs/>
          <w:kern w:val="0"/>
        </w:rPr>
        <w:t>2009至2013年</w:t>
      </w:r>
      <w:r>
        <w:rPr>
          <w:rFonts w:hint="eastAsia" w:ascii="楷体" w:hAnsi="楷体" w:eastAsia="楷体"/>
          <w:bCs/>
          <w:kern w:val="0"/>
        </w:rPr>
        <w:t>）</w:t>
      </w:r>
      <w:r>
        <w:rPr>
          <w:rFonts w:ascii="楷体" w:hAnsi="楷体" w:eastAsia="楷体"/>
          <w:bCs/>
          <w:kern w:val="0"/>
        </w:rPr>
        <w:t>臺灣地區各地方法院有關跨境毒品販運案件有罪判決的判決書，共482件跨境毒品販運案件，以清楚呈現臺灣地區近年</w:t>
      </w:r>
      <w:r>
        <w:rPr>
          <w:rFonts w:hint="eastAsia" w:ascii="楷体" w:hAnsi="楷体" w:eastAsia="楷体"/>
          <w:bCs/>
          <w:kern w:val="0"/>
        </w:rPr>
        <w:t>的</w:t>
      </w:r>
      <w:r>
        <w:rPr>
          <w:rFonts w:ascii="楷体" w:hAnsi="楷体" w:eastAsia="楷体"/>
          <w:bCs/>
          <w:kern w:val="0"/>
        </w:rPr>
        <w:t>毒品販運現況。</w:t>
      </w:r>
      <w:r>
        <w:rPr>
          <w:rFonts w:hint="eastAsia" w:ascii="楷体" w:hAnsi="楷体" w:eastAsia="楷体"/>
          <w:bCs/>
          <w:kern w:val="0"/>
        </w:rPr>
        <w:t>繼而</w:t>
      </w:r>
      <w:r>
        <w:rPr>
          <w:rFonts w:ascii="楷体" w:hAnsi="楷体" w:eastAsia="楷体"/>
          <w:bCs/>
          <w:kern w:val="0"/>
        </w:rPr>
        <w:t>根據「聯合國毒品</w:t>
      </w:r>
      <w:r>
        <w:rPr>
          <w:rFonts w:hint="eastAsia" w:ascii="楷体" w:hAnsi="楷体" w:eastAsia="楷体"/>
          <w:bCs/>
          <w:kern w:val="0"/>
        </w:rPr>
        <w:t>和</w:t>
      </w:r>
      <w:r>
        <w:rPr>
          <w:rFonts w:ascii="楷体" w:hAnsi="楷体" w:eastAsia="楷体"/>
          <w:bCs/>
          <w:kern w:val="0"/>
        </w:rPr>
        <w:t>犯罪問題辦公室」（United Nations Office on Drug and Crime）所</w:t>
      </w:r>
      <w:r>
        <w:rPr>
          <w:rFonts w:hint="eastAsia" w:ascii="楷体" w:hAnsi="楷体" w:eastAsia="楷体"/>
          <w:bCs/>
          <w:kern w:val="0"/>
        </w:rPr>
        <w:t>最新</w:t>
      </w:r>
      <w:r>
        <w:rPr>
          <w:rFonts w:ascii="楷体" w:hAnsi="楷体" w:eastAsia="楷体"/>
          <w:bCs/>
          <w:kern w:val="0"/>
        </w:rPr>
        <w:t>公布的2013年《世界毒品報告》（World Drug Report），分析全球毒品販運趨勢、地區特性及販運模式，以建構各類毒品的販運網絡及特徵。針對毒品販運打擊對策，本文蒐集與分析跨境反毒法制資料，</w:t>
      </w:r>
      <w:r>
        <w:rPr>
          <w:rFonts w:hint="eastAsia" w:ascii="楷体" w:hAnsi="楷体" w:eastAsia="楷体"/>
          <w:bCs/>
          <w:kern w:val="0"/>
        </w:rPr>
        <w:t>並</w:t>
      </w:r>
      <w:r>
        <w:rPr>
          <w:rFonts w:ascii="楷体" w:hAnsi="楷体" w:eastAsia="楷体"/>
          <w:bCs/>
          <w:kern w:val="0"/>
        </w:rPr>
        <w:t>以臺灣地區毒品販運的現象以及兩岸與東亞地區的毒品販運模式為基礎，結合跨境反毒法制的精義，提出跨境毒品販運的打擊對策。本文對於兩岸跨境毒品販運防制政策的擬定與執行，應可提供具價值的參考資訊。</w:t>
      </w:r>
    </w:p>
    <w:p>
      <w:pPr>
        <w:ind w:left="480" w:leftChars="200" w:right="480" w:rightChars="200" w:firstLine="482"/>
        <w:rPr>
          <w:rFonts w:ascii="楷体" w:hAnsi="楷体" w:eastAsia="楷体"/>
          <w:kern w:val="0"/>
        </w:rPr>
      </w:pPr>
      <w:r>
        <w:rPr>
          <w:rStyle w:val="38"/>
          <w:rFonts w:hint="eastAsia" w:ascii="黑体" w:hAnsi="黑体" w:eastAsia="黑体"/>
          <w:lang w:eastAsia="zh-TW"/>
        </w:rPr>
        <w:t>關鍵</w:t>
      </w:r>
      <w:r>
        <w:rPr>
          <w:rStyle w:val="38"/>
          <w:rFonts w:hint="eastAsia" w:ascii="黑体" w:hAnsi="黑体" w:eastAsia="黑体"/>
        </w:rPr>
        <w:t>词</w:t>
      </w:r>
      <w:r>
        <w:rPr>
          <w:rStyle w:val="38"/>
          <w:rFonts w:hint="eastAsia" w:ascii="黑体" w:hAnsi="黑体" w:eastAsia="黑体"/>
          <w:lang w:val="en-US" w:eastAsia="zh-CN"/>
        </w:rPr>
        <w:t xml:space="preserve">  </w:t>
      </w:r>
      <w:r>
        <w:rPr>
          <w:rFonts w:ascii="楷体" w:hAnsi="楷体" w:eastAsia="楷体"/>
          <w:kern w:val="0"/>
        </w:rPr>
        <w:t>毒品販運</w:t>
      </w:r>
      <w:r>
        <w:rPr>
          <w:rFonts w:hint="eastAsia" w:ascii="楷体" w:hAnsi="楷体" w:eastAsia="楷体"/>
          <w:kern w:val="0"/>
        </w:rPr>
        <w:t xml:space="preserve">  </w:t>
      </w:r>
      <w:r>
        <w:rPr>
          <w:rFonts w:ascii="楷体" w:hAnsi="楷体" w:eastAsia="楷体"/>
          <w:kern w:val="0"/>
        </w:rPr>
        <w:t>跨境犯罪</w:t>
      </w:r>
      <w:r>
        <w:rPr>
          <w:rFonts w:hint="eastAsia" w:ascii="楷体" w:hAnsi="楷体" w:eastAsia="楷体"/>
          <w:kern w:val="0"/>
        </w:rPr>
        <w:t xml:space="preserve">  </w:t>
      </w:r>
      <w:r>
        <w:rPr>
          <w:rFonts w:ascii="楷体" w:hAnsi="楷体" w:eastAsia="楷体"/>
          <w:kern w:val="0"/>
        </w:rPr>
        <w:t>跨境警務合作</w:t>
      </w:r>
      <w:r>
        <w:rPr>
          <w:rFonts w:hint="eastAsia" w:ascii="楷体" w:hAnsi="楷体" w:eastAsia="楷体"/>
          <w:kern w:val="0"/>
        </w:rPr>
        <w:t xml:space="preserve">  涉外警務</w:t>
      </w:r>
    </w:p>
    <w:p>
      <w:pPr>
        <w:pStyle w:val="4"/>
        <w:ind w:firstLine="560"/>
      </w:pPr>
      <w:r>
        <w:t>壹、前言</w:t>
      </w:r>
    </w:p>
    <w:p>
      <w:pPr>
        <w:ind w:firstLine="480"/>
      </w:pPr>
      <w:r>
        <w:t>研究犯罪問題，不能脫離犯罪所依附的社會背景。社會背景是一種變動的狀態，犯罪在其中，影響許多社會的、文化的、政治的及經濟的決定因素，也被這些決定因素所影響。在現代化過程當中，犯罪始終是一個寂靜的伴隨者。近年來，在全球化浪潮衝擊下，兩岸採取自由開放措施，排除阻礙金融、貨物、人員、資訊流通的藩籬，貿易與金融商品於兩岸間流動的數量快速增加。全球化，顯然也為犯罪創造了新的及有利的社會背景。在全球化的影響下，治安問題產生質與量的變化，違法者針對違法行為的構思與安排愈加複雜，犯罪已不再是單純的地區性問題，跨境犯罪儼然成為刑事司法部門重要的執法標的。面對治安環境如此變化，跨境警務合作工作的重要性不言可喻。</w:t>
      </w:r>
    </w:p>
    <w:p>
      <w:pPr>
        <w:ind w:firstLine="480"/>
      </w:pPr>
      <w:r>
        <w:rPr>
          <w:rFonts w:hint="eastAsia" w:ascii="宋体" w:hAnsi="宋体" w:eastAsia="宋体" w:cs="宋体"/>
        </w:rPr>
        <w:t>聯合國毒品和犯罪問題辦公室（UNODC）於2013年所出版的《世界毒品報告》中指出，全球15歳</w:t>
      </w:r>
      <w:r>
        <w:rPr>
          <w:rFonts w:hint="eastAsia" w:ascii="宋体" w:hAnsi="宋体" w:cs="宋体"/>
          <w:lang w:val="en-US" w:eastAsia="zh-CN"/>
        </w:rPr>
        <w:t>~</w:t>
      </w:r>
      <w:r>
        <w:rPr>
          <w:rFonts w:hint="eastAsia" w:ascii="宋体" w:hAnsi="宋体" w:eastAsia="宋体" w:cs="宋体"/>
        </w:rPr>
        <w:t>64歳吸毒人數約為1億6千7百萬人至3億1千5百萬人，占全球15歳~64歳人口數的3.6%~6.9%。在全球15-64歲人口中，約有2,700萬問題問毒吸毒者，全球因毒品相關的死亡人數約有21萬1千人，多數為年輕人（UNODC, 2013）。</w:t>
      </w:r>
    </w:p>
    <w:p>
      <w:pPr>
        <w:ind w:firstLine="480"/>
      </w:pPr>
      <w:r>
        <w:rPr>
          <w:rFonts w:hint="eastAsia" w:ascii="宋体" w:hAnsi="宋体" w:eastAsia="宋体" w:cs="宋体"/>
        </w:rPr>
        <w:t>而臺灣地區</w:t>
      </w:r>
      <w:r>
        <w:rPr>
          <w:rFonts w:hint="eastAsia" w:ascii="宋体" w:hAnsi="宋体" w:eastAsia="宋体" w:cs="宋体"/>
          <w:bCs/>
        </w:rPr>
        <w:t>法务部门資料顯示，2014年5月底，各監獄在監58,173位受刑人中以毒品犯罪人最多，計有26,647人，占45.8%。</w:t>
      </w:r>
      <w:r>
        <w:rPr>
          <w:rFonts w:hint="eastAsia" w:ascii="宋体" w:hAnsi="宋体" w:eastAsia="宋体" w:cs="宋体"/>
        </w:rPr>
        <w:t>另根據臺灣地區《毒品犯罪防制工作年報》資料，多類查獲毒品（如海洛因、大麻、搖頭丸等）來源係來自境外的比例高達近乎百分之百（</w:t>
      </w:r>
      <w:r>
        <w:rPr>
          <w:rFonts w:hint="eastAsia" w:ascii="宋体" w:hAnsi="宋体" w:eastAsia="宋体" w:cs="宋体"/>
          <w:bCs/>
        </w:rPr>
        <w:t>法务部门</w:t>
      </w:r>
      <w:r>
        <w:rPr>
          <w:rFonts w:hint="eastAsia" w:ascii="宋体" w:hAnsi="宋体" w:eastAsia="宋体" w:cs="宋体"/>
        </w:rPr>
        <w:t>，2014；</w:t>
      </w:r>
      <w:r>
        <w:rPr>
          <w:rFonts w:hint="eastAsia" w:ascii="宋体" w:hAnsi="宋体" w:eastAsia="宋体" w:cs="宋体"/>
          <w:bCs/>
        </w:rPr>
        <w:t>法务部门</w:t>
      </w:r>
      <w:r>
        <w:rPr>
          <w:rFonts w:hint="eastAsia" w:ascii="宋体" w:hAnsi="宋体" w:eastAsia="宋体" w:cs="宋体"/>
        </w:rPr>
        <w:t>調查局，2013）。顯見，跨境毒品販運問題的嚴重程度以及打擊對策的需求急迫性。</w:t>
      </w:r>
    </w:p>
    <w:p>
      <w:pPr>
        <w:pStyle w:val="4"/>
        <w:ind w:firstLine="560"/>
      </w:pPr>
      <w:r>
        <w:t>貳、臺灣地區跨境毒品販運的近況分析</w:t>
      </w:r>
    </w:p>
    <w:p>
      <w:pPr>
        <w:ind w:firstLine="480"/>
      </w:pPr>
      <w:r>
        <w:rPr>
          <w:rFonts w:hint="eastAsia" w:ascii="宋体" w:hAnsi="宋体" w:eastAsia="宋体" w:cs="宋体"/>
        </w:rPr>
        <w:t>為瞭解臺灣地區跨境毒品販運現況，本文蒐集2009年至2013年臺灣地區各地方法院判決有罪之跨境毒品販運案件判決書，近五年案件數共計482件，繼而針對482件的有罪判決書進行內容分析。有關搜尋該等案件判決書的方法，筆者係進入臺灣地區「司法部门法學資料檢索系統」中的判決書查詢（網址：http://jirs.judicial.gov.tw/Index. htm），分別以「毒品危害防制條例」，輔以關鍵字「大陸地區」、「香港」、「澳門」、「境外」、「跨境」分別查尋，以期蒐集完整的案件數，經比對符合跨境毒品販運者計有482件。分析項目為五項，分別為跨境毒品販運的毒品類型、入境臺灣地區前之啟程地點、入境臺灣地區之地點、運輸手法、犯罪者籍貫等五項。</w:t>
      </w:r>
    </w:p>
    <w:p>
      <w:pPr>
        <w:pStyle w:val="5"/>
        <w:ind w:firstLine="480"/>
      </w:pPr>
      <w:r>
        <w:t>一、跨境毒品販運的毒品類型</w:t>
      </w:r>
    </w:p>
    <w:p>
      <w:pPr>
        <w:ind w:firstLine="480"/>
      </w:pPr>
      <w:r>
        <w:rPr>
          <w:rFonts w:hint="eastAsia" w:ascii="宋体" w:hAnsi="宋体" w:eastAsia="宋体" w:cs="宋体"/>
        </w:rPr>
        <w:t>482件跨境毒品販運案件中，愷他命計有198件，占41.08%，數量為最多。其次依序為：海洛因176件（36.51%）、安非他命類43件（8.92%）、混合販運（販運兩種以上毒品及禁藥類）22件（4.56%）、大麻類19件（3.94%）、MDMA12件（2.49%）、一粒眠類5件（1.04%）、鹽酸羥亞胺4件（0.83%）、麻黃2件（0.41%）以及古柯鹼1件（0.21%）。各類毒品販運案件數量，如圖1。</w:t>
      </w:r>
    </w:p>
    <w:p>
      <w:pPr>
        <w:spacing w:line="240" w:lineRule="auto"/>
        <w:ind w:firstLine="0" w:firstLineChars="0"/>
        <w:jc w:val="center"/>
        <w:rPr>
          <w:rFonts w:eastAsia="MingLiU"/>
          <w:b/>
          <w:sz w:val="22"/>
          <w:szCs w:val="22"/>
        </w:rPr>
      </w:pPr>
      <w:r>
        <w:rPr>
          <w:rFonts w:ascii="Times New Roman" w:hAnsi="Times New Roman" w:eastAsia="MingLiU" w:cs="Times New Roman"/>
          <w:b/>
          <w:kern w:val="2"/>
          <w:sz w:val="22"/>
          <w:szCs w:val="22"/>
          <w:lang w:val="en-US" w:eastAsia="zh-CN" w:bidi="ar-SA"/>
        </w:rPr>
        <w:pict>
          <v:shape id="图片 322" o:spid="_x0000_s1026" type="#_x0000_t75" style="height:150.75pt;width:303.9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ind w:firstLine="480"/>
        <w:jc w:val="center"/>
      </w:pPr>
      <w:r>
        <w:rPr>
          <w:rFonts w:hint="eastAsia" w:ascii="宋体" w:hAnsi="宋体" w:eastAsia="宋体" w:cs="宋体"/>
          <w:sz w:val="21"/>
          <w:szCs w:val="21"/>
        </w:rPr>
        <w:t>圖1  跨境毒品販運之毒品類型分析</w:t>
      </w:r>
    </w:p>
    <w:p>
      <w:pPr>
        <w:pStyle w:val="5"/>
        <w:ind w:firstLine="480"/>
      </w:pPr>
      <w:r>
        <w:t>二、跨境毒品販運入境臺灣地區前之啟程地點</w:t>
      </w:r>
    </w:p>
    <w:p>
      <w:pPr>
        <w:ind w:firstLine="480"/>
      </w:pPr>
      <w:r>
        <w:rPr>
          <w:rFonts w:hint="eastAsia" w:ascii="宋体" w:hAnsi="宋体" w:eastAsia="宋体" w:cs="宋体"/>
        </w:rPr>
        <w:t>判決書分析發現，大陸地區為入境臺灣地區前的主要啟程地點（也可能是中轉地）。進一步分析顯示，大陸地區的珠海、深圳、香港以及澳門等城市是常見入境臺灣地區前的地點，其他城市尚包括：廣州、東莞、廈門、三亞以及汕頭等。其餘地區尚有泰國(54件)、柬埔寨(24件)、緬甸(12件)、越南(12件)以及馬來西亞(11件)等。相關資料，如表1。</w:t>
      </w:r>
    </w:p>
    <w:p>
      <w:pPr>
        <w:spacing w:line="240" w:lineRule="auto"/>
        <w:ind w:firstLine="440"/>
        <w:rPr>
          <w:rFonts w:eastAsia="MingLiU"/>
          <w:sz w:val="22"/>
          <w:szCs w:val="22"/>
        </w:rPr>
      </w:pPr>
    </w:p>
    <w:p>
      <w:pPr>
        <w:ind w:firstLine="480"/>
        <w:jc w:val="center"/>
        <w:rPr>
          <w:rFonts w:hint="eastAsia" w:ascii="宋体" w:hAnsi="宋体" w:eastAsia="宋体" w:cs="宋体"/>
          <w:sz w:val="21"/>
          <w:szCs w:val="21"/>
        </w:rPr>
      </w:pPr>
      <w:r>
        <w:rPr>
          <w:rFonts w:hint="eastAsia" w:ascii="宋体" w:hAnsi="宋体" w:eastAsia="宋体" w:cs="宋体"/>
          <w:sz w:val="21"/>
          <w:szCs w:val="21"/>
        </w:rPr>
        <w:t>表1  跨境毒品販運入境臺灣地區前的啟程地點分析</w:t>
      </w:r>
    </w:p>
    <w:tbl>
      <w:tblPr>
        <w:tblStyle w:val="46"/>
        <w:tblW w:w="8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16"/>
        <w:gridCol w:w="953"/>
        <w:gridCol w:w="822"/>
        <w:gridCol w:w="821"/>
        <w:gridCol w:w="836"/>
        <w:gridCol w:w="894"/>
        <w:gridCol w:w="898"/>
        <w:gridCol w:w="952"/>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7" w:hRule="atLeast"/>
          <w:jc w:val="center"/>
        </w:trPr>
        <w:tc>
          <w:tcPr>
            <w:tcW w:w="1716" w:type="dxa"/>
            <w:vMerge w:val="restart"/>
            <w:tcBorders>
              <w:tl2br w:val="single" w:color="auto" w:sz="4" w:space="0"/>
            </w:tcBorders>
            <w:shd w:val="clear" w:color="auto" w:fill="E6E6E6"/>
            <w:vAlign w:val="center"/>
          </w:tcPr>
          <w:p>
            <w:pPr>
              <w:widowControl/>
              <w:ind w:firstLine="0" w:firstLineChars="0"/>
              <w:jc w:val="right"/>
              <w:rPr>
                <w:rFonts w:ascii="宋体" w:hAnsi="宋体" w:eastAsia="宋体"/>
                <w:sz w:val="21"/>
                <w:szCs w:val="21"/>
              </w:rPr>
            </w:pPr>
            <w:r>
              <w:rPr>
                <w:rFonts w:ascii="宋体" w:hAnsi="宋体" w:eastAsia="宋体"/>
                <w:sz w:val="21"/>
                <w:szCs w:val="21"/>
              </w:rPr>
              <w:t>入境前的</w:t>
            </w:r>
          </w:p>
          <w:p>
            <w:pPr>
              <w:widowControl/>
              <w:ind w:firstLine="0" w:firstLineChars="0"/>
              <w:jc w:val="right"/>
              <w:rPr>
                <w:rFonts w:ascii="宋体" w:hAnsi="宋体" w:eastAsia="宋体"/>
                <w:sz w:val="21"/>
                <w:szCs w:val="21"/>
              </w:rPr>
            </w:pPr>
            <w:r>
              <w:rPr>
                <w:rFonts w:ascii="宋体" w:hAnsi="宋体" w:eastAsia="宋体"/>
                <w:sz w:val="21"/>
                <w:szCs w:val="21"/>
              </w:rPr>
              <w:t>啟程地</w:t>
            </w:r>
          </w:p>
          <w:p>
            <w:pPr>
              <w:widowControl/>
              <w:ind w:firstLine="0" w:firstLineChars="0"/>
              <w:rPr>
                <w:rFonts w:ascii="宋体" w:hAnsi="宋体" w:eastAsia="宋体"/>
                <w:sz w:val="21"/>
                <w:szCs w:val="21"/>
              </w:rPr>
            </w:pPr>
            <w:r>
              <w:rPr>
                <w:rFonts w:ascii="宋体" w:hAnsi="宋体" w:eastAsia="宋体"/>
                <w:sz w:val="21"/>
                <w:szCs w:val="21"/>
              </w:rPr>
              <w:t>毒品類</w:t>
            </w:r>
            <w:r>
              <w:rPr>
                <w:rFonts w:hint="eastAsia" w:ascii="宋体" w:hAnsi="宋体" w:eastAsia="宋体"/>
                <w:sz w:val="21"/>
                <w:szCs w:val="21"/>
              </w:rPr>
              <w:t>型</w:t>
            </w:r>
          </w:p>
        </w:tc>
        <w:tc>
          <w:tcPr>
            <w:tcW w:w="5224" w:type="dxa"/>
            <w:gridSpan w:val="6"/>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大陸地區</w:t>
            </w:r>
          </w:p>
        </w:tc>
        <w:tc>
          <w:tcPr>
            <w:tcW w:w="952" w:type="dxa"/>
            <w:vMerge w:val="restart"/>
            <w:shd w:val="clear" w:color="auto" w:fill="E6E6E6"/>
            <w:vAlign w:val="center"/>
          </w:tcPr>
          <w:p>
            <w:pPr>
              <w:ind w:firstLine="0" w:firstLineChars="0"/>
              <w:jc w:val="center"/>
              <w:rPr>
                <w:rFonts w:ascii="宋体" w:hAnsi="宋体" w:eastAsia="宋体"/>
                <w:sz w:val="21"/>
                <w:szCs w:val="21"/>
              </w:rPr>
            </w:pPr>
            <w:r>
              <w:rPr>
                <w:rFonts w:ascii="宋体" w:hAnsi="宋体" w:eastAsia="宋体"/>
                <w:sz w:val="21"/>
                <w:szCs w:val="21"/>
              </w:rPr>
              <w:t>其他</w:t>
            </w:r>
          </w:p>
          <w:p>
            <w:pPr>
              <w:ind w:firstLine="0" w:firstLineChars="0"/>
              <w:jc w:val="center"/>
              <w:rPr>
                <w:rFonts w:ascii="宋体" w:hAnsi="宋体" w:eastAsia="宋体"/>
                <w:sz w:val="21"/>
                <w:szCs w:val="21"/>
              </w:rPr>
            </w:pPr>
            <w:r>
              <w:rPr>
                <w:rFonts w:ascii="宋体" w:hAnsi="宋体" w:eastAsia="宋体"/>
                <w:sz w:val="21"/>
                <w:szCs w:val="21"/>
              </w:rPr>
              <w:t>地區</w:t>
            </w:r>
          </w:p>
        </w:tc>
        <w:tc>
          <w:tcPr>
            <w:tcW w:w="894" w:type="dxa"/>
            <w:vMerge w:val="restart"/>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總計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Merge w:val="continue"/>
            <w:shd w:val="clear" w:color="auto" w:fill="E6E6E6"/>
            <w:vAlign w:val="center"/>
          </w:tcPr>
          <w:p>
            <w:pPr>
              <w:widowControl/>
              <w:ind w:firstLine="0" w:firstLineChars="0"/>
              <w:jc w:val="center"/>
              <w:rPr>
                <w:rFonts w:ascii="宋体" w:hAnsi="宋体" w:eastAsia="宋体"/>
                <w:sz w:val="21"/>
                <w:szCs w:val="21"/>
              </w:rPr>
            </w:pPr>
          </w:p>
        </w:tc>
        <w:tc>
          <w:tcPr>
            <w:tcW w:w="953"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合計</w:t>
            </w:r>
          </w:p>
        </w:tc>
        <w:tc>
          <w:tcPr>
            <w:tcW w:w="822"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珠海</w:t>
            </w:r>
          </w:p>
        </w:tc>
        <w:tc>
          <w:tcPr>
            <w:tcW w:w="821"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深圳</w:t>
            </w:r>
          </w:p>
        </w:tc>
        <w:tc>
          <w:tcPr>
            <w:tcW w:w="836"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香港</w:t>
            </w:r>
          </w:p>
        </w:tc>
        <w:tc>
          <w:tcPr>
            <w:tcW w:w="894"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澳門</w:t>
            </w:r>
          </w:p>
        </w:tc>
        <w:tc>
          <w:tcPr>
            <w:tcW w:w="898"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其他</w:t>
            </w:r>
          </w:p>
          <w:p>
            <w:pPr>
              <w:widowControl/>
              <w:ind w:firstLine="0" w:firstLineChars="0"/>
              <w:jc w:val="center"/>
              <w:rPr>
                <w:rFonts w:ascii="宋体" w:hAnsi="宋体" w:eastAsia="宋体"/>
                <w:sz w:val="21"/>
                <w:szCs w:val="21"/>
              </w:rPr>
            </w:pPr>
            <w:r>
              <w:rPr>
                <w:rFonts w:ascii="宋体" w:hAnsi="宋体" w:eastAsia="宋体"/>
                <w:sz w:val="21"/>
                <w:szCs w:val="21"/>
              </w:rPr>
              <w:t>城市</w:t>
            </w:r>
          </w:p>
        </w:tc>
        <w:tc>
          <w:tcPr>
            <w:tcW w:w="952" w:type="dxa"/>
            <w:vMerge w:val="continue"/>
            <w:shd w:val="clear" w:color="auto" w:fill="E6E6E6"/>
            <w:vAlign w:val="bottom"/>
          </w:tcPr>
          <w:p>
            <w:pPr>
              <w:widowControl/>
              <w:ind w:firstLine="0" w:firstLineChars="0"/>
              <w:rPr>
                <w:rFonts w:ascii="宋体" w:hAnsi="宋体" w:eastAsia="宋体"/>
                <w:sz w:val="21"/>
                <w:szCs w:val="21"/>
              </w:rPr>
            </w:pPr>
          </w:p>
        </w:tc>
        <w:tc>
          <w:tcPr>
            <w:tcW w:w="894" w:type="dxa"/>
            <w:vMerge w:val="continue"/>
            <w:shd w:val="clear" w:color="auto" w:fill="E6E6E6"/>
            <w:vAlign w:val="center"/>
          </w:tcPr>
          <w:p>
            <w:pPr>
              <w:widowControl/>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愷他命</w:t>
            </w:r>
          </w:p>
        </w:tc>
        <w:tc>
          <w:tcPr>
            <w:tcW w:w="95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185件</w:t>
            </w:r>
          </w:p>
          <w:p>
            <w:pPr>
              <w:widowControl/>
              <w:ind w:firstLine="0" w:firstLineChars="0"/>
              <w:jc w:val="center"/>
              <w:rPr>
                <w:rFonts w:ascii="宋体" w:hAnsi="宋体" w:eastAsia="宋体"/>
                <w:sz w:val="21"/>
                <w:szCs w:val="21"/>
              </w:rPr>
            </w:pPr>
            <w:r>
              <w:rPr>
                <w:rFonts w:ascii="宋体" w:hAnsi="宋体" w:eastAsia="宋体"/>
                <w:sz w:val="21"/>
                <w:szCs w:val="21"/>
              </w:rPr>
              <w:t>93.43%</w:t>
            </w:r>
          </w:p>
        </w:tc>
        <w:tc>
          <w:tcPr>
            <w:tcW w:w="82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47件</w:t>
            </w:r>
          </w:p>
          <w:p>
            <w:pPr>
              <w:widowControl/>
              <w:ind w:firstLine="0" w:firstLineChars="0"/>
              <w:jc w:val="center"/>
              <w:rPr>
                <w:rFonts w:ascii="宋体" w:hAnsi="宋体" w:eastAsia="宋体"/>
                <w:sz w:val="21"/>
                <w:szCs w:val="21"/>
              </w:rPr>
            </w:pPr>
            <w:r>
              <w:rPr>
                <w:rFonts w:ascii="宋体" w:hAnsi="宋体" w:eastAsia="宋体"/>
                <w:sz w:val="21"/>
                <w:szCs w:val="21"/>
              </w:rPr>
              <w:t>23.74%</w:t>
            </w:r>
          </w:p>
        </w:tc>
        <w:tc>
          <w:tcPr>
            <w:tcW w:w="82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19件</w:t>
            </w:r>
          </w:p>
          <w:p>
            <w:pPr>
              <w:widowControl/>
              <w:ind w:firstLine="0" w:firstLineChars="0"/>
              <w:jc w:val="center"/>
              <w:rPr>
                <w:rFonts w:ascii="宋体" w:hAnsi="宋体" w:eastAsia="宋体"/>
                <w:sz w:val="21"/>
                <w:szCs w:val="21"/>
              </w:rPr>
            </w:pPr>
            <w:r>
              <w:rPr>
                <w:rFonts w:ascii="宋体" w:hAnsi="宋体" w:eastAsia="宋体"/>
                <w:sz w:val="21"/>
                <w:szCs w:val="21"/>
              </w:rPr>
              <w:t>9.60%</w:t>
            </w:r>
          </w:p>
        </w:tc>
        <w:tc>
          <w:tcPr>
            <w:tcW w:w="83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16件</w:t>
            </w:r>
          </w:p>
          <w:p>
            <w:pPr>
              <w:widowControl/>
              <w:ind w:firstLine="0" w:firstLineChars="0"/>
              <w:jc w:val="center"/>
              <w:rPr>
                <w:rFonts w:ascii="宋体" w:hAnsi="宋体" w:eastAsia="宋体"/>
                <w:sz w:val="21"/>
                <w:szCs w:val="21"/>
              </w:rPr>
            </w:pPr>
            <w:r>
              <w:rPr>
                <w:rFonts w:ascii="宋体" w:hAnsi="宋体" w:eastAsia="宋体"/>
                <w:sz w:val="21"/>
                <w:szCs w:val="21"/>
              </w:rPr>
              <w:t>8.08%</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15件</w:t>
            </w:r>
          </w:p>
          <w:p>
            <w:pPr>
              <w:widowControl/>
              <w:ind w:firstLine="0" w:firstLineChars="0"/>
              <w:jc w:val="center"/>
              <w:rPr>
                <w:rFonts w:ascii="宋体" w:hAnsi="宋体" w:eastAsia="宋体"/>
                <w:sz w:val="21"/>
                <w:szCs w:val="21"/>
              </w:rPr>
            </w:pPr>
            <w:r>
              <w:rPr>
                <w:rFonts w:ascii="宋体" w:hAnsi="宋体" w:eastAsia="宋体"/>
                <w:sz w:val="21"/>
                <w:szCs w:val="21"/>
              </w:rPr>
              <w:t>7.58%</w:t>
            </w:r>
          </w:p>
        </w:tc>
        <w:tc>
          <w:tcPr>
            <w:tcW w:w="898"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88件</w:t>
            </w:r>
          </w:p>
          <w:p>
            <w:pPr>
              <w:widowControl/>
              <w:ind w:firstLine="0" w:firstLineChars="0"/>
              <w:jc w:val="center"/>
              <w:rPr>
                <w:rFonts w:ascii="宋体" w:hAnsi="宋体" w:eastAsia="宋体"/>
                <w:sz w:val="21"/>
                <w:szCs w:val="21"/>
              </w:rPr>
            </w:pPr>
            <w:r>
              <w:rPr>
                <w:rFonts w:ascii="宋体" w:hAnsi="宋体" w:eastAsia="宋体"/>
                <w:sz w:val="21"/>
                <w:szCs w:val="21"/>
              </w:rPr>
              <w:t>44.44%</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13件</w:t>
            </w:r>
          </w:p>
          <w:p>
            <w:pPr>
              <w:widowControl/>
              <w:ind w:firstLine="0" w:firstLineChars="0"/>
              <w:jc w:val="center"/>
              <w:rPr>
                <w:rFonts w:ascii="宋体" w:hAnsi="宋体" w:eastAsia="宋体"/>
                <w:sz w:val="21"/>
                <w:szCs w:val="21"/>
              </w:rPr>
            </w:pPr>
            <w:r>
              <w:rPr>
                <w:rFonts w:ascii="宋体" w:hAnsi="宋体" w:eastAsia="宋体"/>
                <w:sz w:val="21"/>
                <w:szCs w:val="21"/>
              </w:rPr>
              <w:t>6.57%</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198件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海洛因</w:t>
            </w:r>
          </w:p>
        </w:tc>
        <w:tc>
          <w:tcPr>
            <w:tcW w:w="95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71件</w:t>
            </w:r>
          </w:p>
          <w:p>
            <w:pPr>
              <w:widowControl/>
              <w:ind w:firstLine="0" w:firstLineChars="0"/>
              <w:jc w:val="center"/>
              <w:rPr>
                <w:rFonts w:ascii="宋体" w:hAnsi="宋体" w:eastAsia="宋体"/>
                <w:sz w:val="21"/>
                <w:szCs w:val="21"/>
              </w:rPr>
            </w:pPr>
            <w:r>
              <w:rPr>
                <w:rFonts w:ascii="宋体" w:hAnsi="宋体" w:eastAsia="宋体"/>
                <w:sz w:val="21"/>
                <w:szCs w:val="21"/>
              </w:rPr>
              <w:t>40.34%</w:t>
            </w:r>
          </w:p>
        </w:tc>
        <w:tc>
          <w:tcPr>
            <w:tcW w:w="82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22件</w:t>
            </w:r>
          </w:p>
          <w:p>
            <w:pPr>
              <w:widowControl/>
              <w:ind w:firstLine="0" w:firstLineChars="0"/>
              <w:jc w:val="center"/>
              <w:rPr>
                <w:rFonts w:ascii="宋体" w:hAnsi="宋体" w:eastAsia="宋体"/>
                <w:sz w:val="21"/>
                <w:szCs w:val="21"/>
              </w:rPr>
            </w:pPr>
            <w:r>
              <w:rPr>
                <w:rFonts w:ascii="宋体" w:hAnsi="宋体" w:eastAsia="宋体"/>
                <w:sz w:val="21"/>
                <w:szCs w:val="21"/>
              </w:rPr>
              <w:t>12.50%</w:t>
            </w:r>
          </w:p>
        </w:tc>
        <w:tc>
          <w:tcPr>
            <w:tcW w:w="82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6件</w:t>
            </w:r>
          </w:p>
          <w:p>
            <w:pPr>
              <w:widowControl/>
              <w:ind w:firstLine="0" w:firstLineChars="0"/>
              <w:jc w:val="center"/>
              <w:rPr>
                <w:rFonts w:ascii="宋体" w:hAnsi="宋体" w:eastAsia="宋体"/>
                <w:sz w:val="21"/>
                <w:szCs w:val="21"/>
              </w:rPr>
            </w:pPr>
            <w:r>
              <w:rPr>
                <w:rFonts w:ascii="宋体" w:hAnsi="宋体" w:eastAsia="宋体"/>
                <w:sz w:val="21"/>
                <w:szCs w:val="21"/>
              </w:rPr>
              <w:t>3.41%</w:t>
            </w:r>
          </w:p>
        </w:tc>
        <w:tc>
          <w:tcPr>
            <w:tcW w:w="83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5件</w:t>
            </w:r>
          </w:p>
          <w:p>
            <w:pPr>
              <w:widowControl/>
              <w:ind w:firstLine="0" w:firstLineChars="0"/>
              <w:jc w:val="center"/>
              <w:rPr>
                <w:rFonts w:ascii="宋体" w:hAnsi="宋体" w:eastAsia="宋体"/>
                <w:sz w:val="21"/>
                <w:szCs w:val="21"/>
              </w:rPr>
            </w:pPr>
            <w:r>
              <w:rPr>
                <w:rFonts w:ascii="宋体" w:hAnsi="宋体" w:eastAsia="宋体"/>
                <w:sz w:val="21"/>
                <w:szCs w:val="21"/>
              </w:rPr>
              <w:t>2.84%</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10件</w:t>
            </w:r>
          </w:p>
          <w:p>
            <w:pPr>
              <w:widowControl/>
              <w:ind w:firstLine="0" w:firstLineChars="0"/>
              <w:jc w:val="center"/>
              <w:rPr>
                <w:rFonts w:ascii="宋体" w:hAnsi="宋体" w:eastAsia="宋体"/>
                <w:sz w:val="21"/>
                <w:szCs w:val="21"/>
              </w:rPr>
            </w:pPr>
            <w:r>
              <w:rPr>
                <w:rFonts w:ascii="宋体" w:hAnsi="宋体" w:eastAsia="宋体"/>
                <w:sz w:val="21"/>
                <w:szCs w:val="21"/>
              </w:rPr>
              <w:t>5.68%</w:t>
            </w:r>
          </w:p>
        </w:tc>
        <w:tc>
          <w:tcPr>
            <w:tcW w:w="898"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28件</w:t>
            </w:r>
          </w:p>
          <w:p>
            <w:pPr>
              <w:widowControl/>
              <w:ind w:firstLine="0" w:firstLineChars="0"/>
              <w:jc w:val="center"/>
              <w:rPr>
                <w:rFonts w:ascii="宋体" w:hAnsi="宋体" w:eastAsia="宋体"/>
                <w:sz w:val="21"/>
                <w:szCs w:val="21"/>
              </w:rPr>
            </w:pPr>
            <w:r>
              <w:rPr>
                <w:rFonts w:ascii="宋体" w:hAnsi="宋体" w:eastAsia="宋体"/>
                <w:sz w:val="21"/>
                <w:szCs w:val="21"/>
              </w:rPr>
              <w:t>15.91%</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105件</w:t>
            </w:r>
          </w:p>
          <w:p>
            <w:pPr>
              <w:widowControl/>
              <w:ind w:firstLine="0" w:firstLineChars="0"/>
              <w:jc w:val="center"/>
              <w:rPr>
                <w:rFonts w:ascii="宋体" w:hAnsi="宋体" w:eastAsia="宋体"/>
                <w:sz w:val="21"/>
                <w:szCs w:val="21"/>
              </w:rPr>
            </w:pPr>
            <w:r>
              <w:rPr>
                <w:rFonts w:ascii="宋体" w:hAnsi="宋体" w:eastAsia="宋体"/>
                <w:sz w:val="21"/>
                <w:szCs w:val="21"/>
              </w:rPr>
              <w:t>59.66%</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176件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安非他命類</w:t>
            </w:r>
          </w:p>
        </w:tc>
        <w:tc>
          <w:tcPr>
            <w:tcW w:w="95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41件</w:t>
            </w:r>
          </w:p>
          <w:p>
            <w:pPr>
              <w:widowControl/>
              <w:ind w:firstLine="0" w:firstLineChars="0"/>
              <w:jc w:val="center"/>
              <w:rPr>
                <w:rFonts w:ascii="宋体" w:hAnsi="宋体" w:eastAsia="宋体"/>
                <w:sz w:val="21"/>
                <w:szCs w:val="21"/>
              </w:rPr>
            </w:pPr>
            <w:r>
              <w:rPr>
                <w:rFonts w:ascii="宋体" w:hAnsi="宋体" w:eastAsia="宋体"/>
                <w:sz w:val="21"/>
                <w:szCs w:val="21"/>
              </w:rPr>
              <w:t>95.35%</w:t>
            </w:r>
          </w:p>
        </w:tc>
        <w:tc>
          <w:tcPr>
            <w:tcW w:w="82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8件</w:t>
            </w:r>
          </w:p>
          <w:p>
            <w:pPr>
              <w:widowControl/>
              <w:ind w:firstLine="0" w:firstLineChars="0"/>
              <w:jc w:val="center"/>
              <w:rPr>
                <w:rFonts w:ascii="宋体" w:hAnsi="宋体" w:eastAsia="宋体"/>
                <w:sz w:val="21"/>
                <w:szCs w:val="21"/>
              </w:rPr>
            </w:pPr>
            <w:r>
              <w:rPr>
                <w:rFonts w:ascii="宋体" w:hAnsi="宋体" w:eastAsia="宋体"/>
                <w:sz w:val="21"/>
                <w:szCs w:val="21"/>
              </w:rPr>
              <w:t>18.60%</w:t>
            </w:r>
          </w:p>
        </w:tc>
        <w:tc>
          <w:tcPr>
            <w:tcW w:w="82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z w:val="21"/>
                <w:szCs w:val="21"/>
              </w:rPr>
              <w:t>4.65%</w:t>
            </w:r>
          </w:p>
        </w:tc>
        <w:tc>
          <w:tcPr>
            <w:tcW w:w="83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z w:val="21"/>
                <w:szCs w:val="21"/>
              </w:rPr>
              <w:t>4.65%</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8"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29件</w:t>
            </w:r>
          </w:p>
          <w:p>
            <w:pPr>
              <w:widowControl/>
              <w:ind w:firstLine="0" w:firstLineChars="0"/>
              <w:jc w:val="center"/>
              <w:rPr>
                <w:rFonts w:ascii="宋体" w:hAnsi="宋体" w:eastAsia="宋体"/>
                <w:sz w:val="21"/>
                <w:szCs w:val="21"/>
              </w:rPr>
            </w:pPr>
            <w:r>
              <w:rPr>
                <w:rFonts w:ascii="宋体" w:hAnsi="宋体" w:eastAsia="宋体"/>
                <w:sz w:val="21"/>
                <w:szCs w:val="21"/>
              </w:rPr>
              <w:t>67.44%</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z w:val="21"/>
                <w:szCs w:val="21"/>
              </w:rPr>
              <w:t>4.65%</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43件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MDMA</w:t>
            </w:r>
          </w:p>
        </w:tc>
        <w:tc>
          <w:tcPr>
            <w:tcW w:w="95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11件</w:t>
            </w:r>
          </w:p>
          <w:p>
            <w:pPr>
              <w:widowControl/>
              <w:ind w:firstLine="0" w:firstLineChars="0"/>
              <w:jc w:val="center"/>
              <w:rPr>
                <w:rFonts w:ascii="宋体" w:hAnsi="宋体" w:eastAsia="宋体"/>
                <w:sz w:val="21"/>
                <w:szCs w:val="21"/>
              </w:rPr>
            </w:pPr>
            <w:r>
              <w:rPr>
                <w:rFonts w:ascii="宋体" w:hAnsi="宋体" w:eastAsia="宋体"/>
                <w:sz w:val="21"/>
                <w:szCs w:val="21"/>
              </w:rPr>
              <w:t>91.67%</w:t>
            </w:r>
          </w:p>
        </w:tc>
        <w:tc>
          <w:tcPr>
            <w:tcW w:w="82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8.33%</w:t>
            </w:r>
          </w:p>
        </w:tc>
        <w:tc>
          <w:tcPr>
            <w:tcW w:w="82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3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8.33%</w:t>
            </w:r>
          </w:p>
        </w:tc>
        <w:tc>
          <w:tcPr>
            <w:tcW w:w="898"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9件</w:t>
            </w:r>
          </w:p>
          <w:p>
            <w:pPr>
              <w:widowControl/>
              <w:ind w:firstLine="0" w:firstLineChars="0"/>
              <w:jc w:val="center"/>
              <w:rPr>
                <w:rFonts w:ascii="宋体" w:hAnsi="宋体" w:eastAsia="宋体"/>
                <w:sz w:val="21"/>
                <w:szCs w:val="21"/>
              </w:rPr>
            </w:pPr>
            <w:r>
              <w:rPr>
                <w:rFonts w:ascii="宋体" w:hAnsi="宋体" w:eastAsia="宋体"/>
                <w:sz w:val="21"/>
                <w:szCs w:val="21"/>
              </w:rPr>
              <w:t>75.00%</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8.33%</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混合販運</w:t>
            </w:r>
          </w:p>
        </w:tc>
        <w:tc>
          <w:tcPr>
            <w:tcW w:w="95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18件</w:t>
            </w:r>
          </w:p>
          <w:p>
            <w:pPr>
              <w:widowControl/>
              <w:ind w:firstLine="0" w:firstLineChars="0"/>
              <w:jc w:val="center"/>
              <w:rPr>
                <w:rFonts w:ascii="宋体" w:hAnsi="宋体" w:eastAsia="宋体"/>
                <w:sz w:val="21"/>
                <w:szCs w:val="21"/>
              </w:rPr>
            </w:pPr>
            <w:r>
              <w:rPr>
                <w:rFonts w:ascii="宋体" w:hAnsi="宋体" w:eastAsia="宋体"/>
                <w:sz w:val="21"/>
                <w:szCs w:val="21"/>
              </w:rPr>
              <w:t>81.82%</w:t>
            </w:r>
          </w:p>
        </w:tc>
        <w:tc>
          <w:tcPr>
            <w:tcW w:w="82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3件</w:t>
            </w:r>
          </w:p>
          <w:p>
            <w:pPr>
              <w:widowControl/>
              <w:ind w:firstLine="0" w:firstLineChars="0"/>
              <w:jc w:val="center"/>
              <w:rPr>
                <w:rFonts w:ascii="宋体" w:hAnsi="宋体" w:eastAsia="宋体"/>
                <w:sz w:val="21"/>
                <w:szCs w:val="21"/>
              </w:rPr>
            </w:pPr>
            <w:r>
              <w:rPr>
                <w:rFonts w:ascii="宋体" w:hAnsi="宋体" w:eastAsia="宋体"/>
                <w:sz w:val="21"/>
                <w:szCs w:val="21"/>
              </w:rPr>
              <w:t>13.64%</w:t>
            </w:r>
          </w:p>
        </w:tc>
        <w:tc>
          <w:tcPr>
            <w:tcW w:w="82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4.55%</w:t>
            </w:r>
          </w:p>
        </w:tc>
        <w:tc>
          <w:tcPr>
            <w:tcW w:w="83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4件</w:t>
            </w:r>
          </w:p>
          <w:p>
            <w:pPr>
              <w:widowControl/>
              <w:ind w:firstLine="0" w:firstLineChars="0"/>
              <w:jc w:val="center"/>
              <w:rPr>
                <w:rFonts w:ascii="宋体" w:hAnsi="宋体" w:eastAsia="宋体"/>
                <w:sz w:val="21"/>
                <w:szCs w:val="21"/>
              </w:rPr>
            </w:pPr>
            <w:r>
              <w:rPr>
                <w:rFonts w:ascii="宋体" w:hAnsi="宋体" w:eastAsia="宋体"/>
                <w:sz w:val="21"/>
                <w:szCs w:val="21"/>
              </w:rPr>
              <w:t>18.18%</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8"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10件</w:t>
            </w:r>
          </w:p>
          <w:p>
            <w:pPr>
              <w:widowControl/>
              <w:ind w:firstLine="0" w:firstLineChars="0"/>
              <w:jc w:val="center"/>
              <w:rPr>
                <w:rFonts w:ascii="宋体" w:hAnsi="宋体" w:eastAsia="宋体"/>
                <w:sz w:val="21"/>
                <w:szCs w:val="21"/>
              </w:rPr>
            </w:pPr>
            <w:r>
              <w:rPr>
                <w:rFonts w:ascii="宋体" w:hAnsi="宋体" w:eastAsia="宋体"/>
                <w:sz w:val="21"/>
                <w:szCs w:val="21"/>
              </w:rPr>
              <w:t>45.45%</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4件</w:t>
            </w:r>
          </w:p>
          <w:p>
            <w:pPr>
              <w:widowControl/>
              <w:ind w:firstLine="0" w:firstLineChars="0"/>
              <w:jc w:val="center"/>
              <w:rPr>
                <w:rFonts w:ascii="宋体" w:hAnsi="宋体" w:eastAsia="宋体"/>
                <w:sz w:val="21"/>
                <w:szCs w:val="21"/>
              </w:rPr>
            </w:pPr>
            <w:r>
              <w:rPr>
                <w:rFonts w:ascii="宋体" w:hAnsi="宋体" w:eastAsia="宋体"/>
                <w:sz w:val="21"/>
                <w:szCs w:val="21"/>
              </w:rPr>
              <w:t>18.18%</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大麻類</w:t>
            </w:r>
          </w:p>
        </w:tc>
        <w:tc>
          <w:tcPr>
            <w:tcW w:w="95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z w:val="21"/>
                <w:szCs w:val="21"/>
              </w:rPr>
              <w:t>10.53%</w:t>
            </w:r>
          </w:p>
        </w:tc>
        <w:tc>
          <w:tcPr>
            <w:tcW w:w="82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2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3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8"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z w:val="21"/>
                <w:szCs w:val="21"/>
              </w:rPr>
              <w:t>10.53%</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17件</w:t>
            </w:r>
          </w:p>
          <w:p>
            <w:pPr>
              <w:widowControl/>
              <w:ind w:firstLine="0" w:firstLineChars="0"/>
              <w:jc w:val="center"/>
              <w:rPr>
                <w:rFonts w:ascii="宋体" w:hAnsi="宋体" w:eastAsia="宋体"/>
                <w:sz w:val="21"/>
                <w:szCs w:val="21"/>
              </w:rPr>
            </w:pPr>
            <w:r>
              <w:rPr>
                <w:rFonts w:ascii="宋体" w:hAnsi="宋体" w:eastAsia="宋体"/>
                <w:sz w:val="21"/>
                <w:szCs w:val="21"/>
              </w:rPr>
              <w:t>89.47%</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19件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一粒眠類</w:t>
            </w:r>
          </w:p>
        </w:tc>
        <w:tc>
          <w:tcPr>
            <w:tcW w:w="95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3件</w:t>
            </w:r>
          </w:p>
          <w:p>
            <w:pPr>
              <w:widowControl/>
              <w:ind w:firstLine="0" w:firstLineChars="0"/>
              <w:jc w:val="center"/>
              <w:rPr>
                <w:rFonts w:ascii="宋体" w:hAnsi="宋体" w:eastAsia="宋体"/>
                <w:sz w:val="21"/>
                <w:szCs w:val="21"/>
              </w:rPr>
            </w:pPr>
            <w:r>
              <w:rPr>
                <w:rFonts w:ascii="宋体" w:hAnsi="宋体" w:eastAsia="宋体"/>
                <w:sz w:val="21"/>
                <w:szCs w:val="21"/>
              </w:rPr>
              <w:t>60.00%</w:t>
            </w:r>
          </w:p>
        </w:tc>
        <w:tc>
          <w:tcPr>
            <w:tcW w:w="82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2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3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8"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3件</w:t>
            </w:r>
          </w:p>
          <w:p>
            <w:pPr>
              <w:widowControl/>
              <w:ind w:firstLine="0" w:firstLineChars="0"/>
              <w:jc w:val="center"/>
              <w:rPr>
                <w:rFonts w:ascii="宋体" w:hAnsi="宋体" w:eastAsia="宋体"/>
                <w:sz w:val="21"/>
                <w:szCs w:val="21"/>
              </w:rPr>
            </w:pPr>
            <w:r>
              <w:rPr>
                <w:rFonts w:ascii="宋体" w:hAnsi="宋体" w:eastAsia="宋体"/>
                <w:sz w:val="21"/>
                <w:szCs w:val="21"/>
              </w:rPr>
              <w:t>60.00%</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z w:val="21"/>
                <w:szCs w:val="21"/>
              </w:rPr>
              <w:t>40.00%</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5件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古柯鹼</w:t>
            </w:r>
          </w:p>
        </w:tc>
        <w:tc>
          <w:tcPr>
            <w:tcW w:w="953"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22"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21"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36"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4"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8"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麻黃</w:t>
            </w:r>
          </w:p>
        </w:tc>
        <w:tc>
          <w:tcPr>
            <w:tcW w:w="95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2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2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50.00%</w:t>
            </w:r>
          </w:p>
        </w:tc>
        <w:tc>
          <w:tcPr>
            <w:tcW w:w="83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8"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50.00%</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鹽酸羥亞胺</w:t>
            </w:r>
          </w:p>
        </w:tc>
        <w:tc>
          <w:tcPr>
            <w:tcW w:w="953"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22"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21"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36"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4"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8"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7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總計</w:t>
            </w:r>
          </w:p>
        </w:tc>
        <w:tc>
          <w:tcPr>
            <w:tcW w:w="95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337件</w:t>
            </w:r>
          </w:p>
          <w:p>
            <w:pPr>
              <w:widowControl/>
              <w:ind w:firstLine="0" w:firstLineChars="0"/>
              <w:jc w:val="center"/>
              <w:rPr>
                <w:rFonts w:ascii="宋体" w:hAnsi="宋体" w:eastAsia="宋体"/>
                <w:sz w:val="21"/>
                <w:szCs w:val="21"/>
              </w:rPr>
            </w:pPr>
            <w:r>
              <w:rPr>
                <w:rFonts w:ascii="宋体" w:hAnsi="宋体" w:eastAsia="宋体"/>
                <w:sz w:val="21"/>
                <w:szCs w:val="21"/>
              </w:rPr>
              <w:t>69.92%</w:t>
            </w:r>
          </w:p>
        </w:tc>
        <w:tc>
          <w:tcPr>
            <w:tcW w:w="82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81件</w:t>
            </w:r>
          </w:p>
          <w:p>
            <w:pPr>
              <w:widowControl/>
              <w:ind w:firstLine="0" w:firstLineChars="0"/>
              <w:jc w:val="center"/>
              <w:rPr>
                <w:rFonts w:ascii="宋体" w:hAnsi="宋体" w:eastAsia="宋体"/>
                <w:sz w:val="21"/>
                <w:szCs w:val="21"/>
              </w:rPr>
            </w:pPr>
            <w:r>
              <w:rPr>
                <w:rFonts w:ascii="宋体" w:hAnsi="宋体" w:eastAsia="宋体"/>
                <w:sz w:val="21"/>
                <w:szCs w:val="21"/>
              </w:rPr>
              <w:t>16.80%</w:t>
            </w:r>
          </w:p>
        </w:tc>
        <w:tc>
          <w:tcPr>
            <w:tcW w:w="82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29件</w:t>
            </w:r>
          </w:p>
          <w:p>
            <w:pPr>
              <w:widowControl/>
              <w:ind w:firstLine="0" w:firstLineChars="0"/>
              <w:jc w:val="center"/>
              <w:rPr>
                <w:rFonts w:ascii="宋体" w:hAnsi="宋体" w:eastAsia="宋体"/>
                <w:sz w:val="21"/>
                <w:szCs w:val="21"/>
              </w:rPr>
            </w:pPr>
            <w:r>
              <w:rPr>
                <w:rFonts w:ascii="宋体" w:hAnsi="宋体" w:eastAsia="宋体"/>
                <w:sz w:val="21"/>
                <w:szCs w:val="21"/>
              </w:rPr>
              <w:t>6.02%</w:t>
            </w:r>
          </w:p>
        </w:tc>
        <w:tc>
          <w:tcPr>
            <w:tcW w:w="83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27件</w:t>
            </w:r>
          </w:p>
          <w:p>
            <w:pPr>
              <w:widowControl/>
              <w:ind w:firstLine="0" w:firstLineChars="0"/>
              <w:jc w:val="center"/>
              <w:rPr>
                <w:rFonts w:ascii="宋体" w:hAnsi="宋体" w:eastAsia="宋体"/>
                <w:sz w:val="21"/>
                <w:szCs w:val="21"/>
              </w:rPr>
            </w:pPr>
            <w:r>
              <w:rPr>
                <w:rFonts w:ascii="宋体" w:hAnsi="宋体" w:eastAsia="宋体"/>
                <w:sz w:val="21"/>
                <w:szCs w:val="21"/>
              </w:rPr>
              <w:t>5.60%</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26件</w:t>
            </w:r>
          </w:p>
          <w:p>
            <w:pPr>
              <w:widowControl/>
              <w:ind w:firstLine="0" w:firstLineChars="0"/>
              <w:jc w:val="center"/>
              <w:rPr>
                <w:rFonts w:ascii="宋体" w:hAnsi="宋体" w:eastAsia="宋体"/>
                <w:sz w:val="21"/>
                <w:szCs w:val="21"/>
              </w:rPr>
            </w:pPr>
            <w:r>
              <w:rPr>
                <w:rFonts w:ascii="宋体" w:hAnsi="宋体" w:eastAsia="宋体"/>
                <w:sz w:val="21"/>
                <w:szCs w:val="21"/>
              </w:rPr>
              <w:t>5.39%</w:t>
            </w:r>
          </w:p>
        </w:tc>
        <w:tc>
          <w:tcPr>
            <w:tcW w:w="898"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174件</w:t>
            </w:r>
          </w:p>
          <w:p>
            <w:pPr>
              <w:widowControl/>
              <w:ind w:firstLine="0" w:firstLineChars="0"/>
              <w:jc w:val="center"/>
              <w:rPr>
                <w:rFonts w:ascii="宋体" w:hAnsi="宋体" w:eastAsia="宋体"/>
                <w:sz w:val="21"/>
                <w:szCs w:val="21"/>
              </w:rPr>
            </w:pPr>
            <w:r>
              <w:rPr>
                <w:rFonts w:ascii="宋体" w:hAnsi="宋体" w:eastAsia="宋体"/>
                <w:sz w:val="21"/>
                <w:szCs w:val="21"/>
              </w:rPr>
              <w:t>36.10%</w:t>
            </w:r>
          </w:p>
        </w:tc>
        <w:tc>
          <w:tcPr>
            <w:tcW w:w="952"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145件</w:t>
            </w:r>
          </w:p>
          <w:p>
            <w:pPr>
              <w:widowControl/>
              <w:ind w:firstLine="0" w:firstLineChars="0"/>
              <w:jc w:val="center"/>
              <w:rPr>
                <w:rFonts w:ascii="宋体" w:hAnsi="宋体" w:eastAsia="宋体"/>
                <w:sz w:val="21"/>
                <w:szCs w:val="21"/>
              </w:rPr>
            </w:pPr>
            <w:r>
              <w:rPr>
                <w:rFonts w:ascii="宋体" w:hAnsi="宋体" w:eastAsia="宋体"/>
                <w:sz w:val="21"/>
                <w:szCs w:val="21"/>
              </w:rPr>
              <w:t>30.08%</w:t>
            </w:r>
          </w:p>
        </w:tc>
        <w:tc>
          <w:tcPr>
            <w:tcW w:w="894"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482件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bl>
    <w:p>
      <w:pPr>
        <w:pStyle w:val="5"/>
        <w:ind w:firstLine="480"/>
      </w:pPr>
      <w:r>
        <w:t>三、跨境毒品販運入境臺灣地區的地點</w:t>
      </w:r>
    </w:p>
    <w:p>
      <w:pPr>
        <w:ind w:firstLine="480"/>
      </w:pPr>
      <w:r>
        <w:rPr>
          <w:rFonts w:hint="eastAsia" w:ascii="宋体" w:hAnsi="宋体" w:eastAsia="宋体" w:cs="宋体"/>
        </w:rPr>
        <w:t>有關入境地點，判決書分析顯示跨境毒品販運以空運方式為主，共398件，占總案件數的82.57%，桃園機場為最常見之入境地點，計有311件，占總案件數的64.52%。海運共有84件，以高雄港為主要的海運入境地，計有20件，其中外島、離島包括金門、小琉球、蘭嶼等。相關資料如表2。</w:t>
      </w:r>
    </w:p>
    <w:p>
      <w:pPr>
        <w:spacing w:line="240" w:lineRule="auto"/>
        <w:ind w:firstLine="440"/>
        <w:rPr>
          <w:rFonts w:eastAsia="MingLiU"/>
          <w:sz w:val="22"/>
          <w:szCs w:val="22"/>
        </w:rPr>
      </w:pPr>
    </w:p>
    <w:p>
      <w:pPr>
        <w:ind w:firstLine="480"/>
        <w:jc w:val="center"/>
        <w:rPr>
          <w:rFonts w:hint="eastAsia" w:ascii="宋体" w:hAnsi="宋体" w:eastAsia="宋体" w:cs="宋体"/>
          <w:sz w:val="21"/>
          <w:szCs w:val="21"/>
        </w:rPr>
      </w:pPr>
      <w:r>
        <w:rPr>
          <w:rFonts w:hint="eastAsia" w:ascii="宋体" w:hAnsi="宋体" w:eastAsia="宋体" w:cs="宋体"/>
          <w:sz w:val="21"/>
          <w:szCs w:val="21"/>
        </w:rPr>
        <w:t>表2  跨境毒品販運入境臺灣地區的地點分析</w:t>
      </w:r>
    </w:p>
    <w:tbl>
      <w:tblPr>
        <w:tblStyle w:val="46"/>
        <w:tblW w:w="8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06"/>
        <w:gridCol w:w="878"/>
        <w:gridCol w:w="763"/>
        <w:gridCol w:w="879"/>
        <w:gridCol w:w="810"/>
        <w:gridCol w:w="933"/>
        <w:gridCol w:w="863"/>
        <w:gridCol w:w="863"/>
        <w:gridCol w:w="76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3" w:hRule="atLeast"/>
          <w:jc w:val="center"/>
        </w:trPr>
        <w:tc>
          <w:tcPr>
            <w:tcW w:w="1206" w:type="dxa"/>
            <w:vMerge w:val="restart"/>
            <w:tcBorders>
              <w:tl2br w:val="single" w:color="auto" w:sz="4" w:space="0"/>
            </w:tcBorders>
            <w:shd w:val="clear" w:color="auto" w:fill="E6E6E6"/>
            <w:vAlign w:val="center"/>
          </w:tcPr>
          <w:p>
            <w:pPr>
              <w:widowControl/>
              <w:ind w:firstLine="0" w:firstLineChars="0"/>
              <w:jc w:val="right"/>
              <w:rPr>
                <w:rFonts w:eastAsia="MingLiU"/>
                <w:sz w:val="21"/>
                <w:szCs w:val="21"/>
              </w:rPr>
            </w:pPr>
            <w:r>
              <w:rPr>
                <w:rFonts w:hAnsi="MingLiU" w:eastAsia="MingLiU"/>
                <w:sz w:val="21"/>
                <w:szCs w:val="21"/>
              </w:rPr>
              <w:t>入境地點</w:t>
            </w:r>
          </w:p>
          <w:p>
            <w:pPr>
              <w:widowControl/>
              <w:ind w:firstLine="0" w:firstLineChars="0"/>
              <w:rPr>
                <w:rFonts w:eastAsia="MingLiU"/>
                <w:sz w:val="21"/>
                <w:szCs w:val="21"/>
              </w:rPr>
            </w:pPr>
          </w:p>
          <w:p>
            <w:pPr>
              <w:widowControl/>
              <w:ind w:firstLine="0" w:firstLineChars="0"/>
              <w:rPr>
                <w:rFonts w:eastAsia="MingLiU"/>
                <w:sz w:val="21"/>
                <w:szCs w:val="21"/>
              </w:rPr>
            </w:pPr>
            <w:bookmarkStart w:id="0" w:name="OLE_LINK1"/>
            <w:bookmarkStart w:id="1" w:name="OLE_LINK2"/>
            <w:r>
              <w:rPr>
                <w:rFonts w:hAnsi="MingLiU" w:eastAsia="MingLiU"/>
                <w:sz w:val="21"/>
                <w:szCs w:val="21"/>
              </w:rPr>
              <w:t>毒品種類</w:t>
            </w:r>
            <w:bookmarkEnd w:id="0"/>
            <w:bookmarkEnd w:id="1"/>
          </w:p>
        </w:tc>
        <w:tc>
          <w:tcPr>
            <w:tcW w:w="3330" w:type="dxa"/>
            <w:gridSpan w:val="4"/>
            <w:shd w:val="clear" w:color="auto" w:fill="E6E6E6"/>
            <w:vAlign w:val="center"/>
          </w:tcPr>
          <w:p>
            <w:pPr>
              <w:widowControl/>
              <w:ind w:firstLine="0" w:firstLineChars="0"/>
              <w:jc w:val="center"/>
              <w:rPr>
                <w:rFonts w:eastAsia="MingLiU"/>
                <w:sz w:val="21"/>
                <w:szCs w:val="21"/>
              </w:rPr>
            </w:pPr>
            <w:r>
              <w:rPr>
                <w:rFonts w:hAnsi="MingLiU" w:eastAsia="MingLiU"/>
                <w:sz w:val="21"/>
                <w:szCs w:val="21"/>
              </w:rPr>
              <w:t>空運</w:t>
            </w:r>
          </w:p>
        </w:tc>
        <w:tc>
          <w:tcPr>
            <w:tcW w:w="3422" w:type="dxa"/>
            <w:gridSpan w:val="4"/>
            <w:shd w:val="clear" w:color="auto" w:fill="E6E6E6"/>
            <w:vAlign w:val="center"/>
          </w:tcPr>
          <w:p>
            <w:pPr>
              <w:widowControl/>
              <w:ind w:firstLine="0" w:firstLineChars="0"/>
              <w:jc w:val="center"/>
              <w:rPr>
                <w:rFonts w:eastAsia="MingLiU"/>
                <w:sz w:val="21"/>
                <w:szCs w:val="21"/>
              </w:rPr>
            </w:pPr>
            <w:r>
              <w:rPr>
                <w:rFonts w:hAnsi="MingLiU" w:eastAsia="MingLiU"/>
                <w:sz w:val="21"/>
                <w:szCs w:val="21"/>
              </w:rPr>
              <w:t>海運</w:t>
            </w:r>
          </w:p>
        </w:tc>
        <w:tc>
          <w:tcPr>
            <w:tcW w:w="828" w:type="dxa"/>
            <w:vMerge w:val="restart"/>
            <w:shd w:val="clear" w:color="auto" w:fill="E6E6E6"/>
            <w:vAlign w:val="center"/>
          </w:tcPr>
          <w:p>
            <w:pPr>
              <w:widowControl/>
              <w:ind w:firstLine="0" w:firstLineChars="0"/>
              <w:jc w:val="center"/>
              <w:rPr>
                <w:rFonts w:eastAsia="MingLiU"/>
                <w:sz w:val="21"/>
                <w:szCs w:val="21"/>
              </w:rPr>
            </w:pPr>
            <w:r>
              <w:rPr>
                <w:rFonts w:hAnsi="MingLiU" w:eastAsia="MingLiU"/>
                <w:sz w:val="21"/>
                <w:szCs w:val="21"/>
              </w:rPr>
              <w:t>總計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jc w:val="center"/>
        </w:trPr>
        <w:tc>
          <w:tcPr>
            <w:tcW w:w="1206" w:type="dxa"/>
            <w:vMerge w:val="continue"/>
            <w:shd w:val="clear" w:color="auto" w:fill="E6E6E6"/>
            <w:vAlign w:val="center"/>
          </w:tcPr>
          <w:p>
            <w:pPr>
              <w:widowControl/>
              <w:ind w:firstLine="0" w:firstLineChars="0"/>
              <w:jc w:val="center"/>
              <w:rPr>
                <w:rFonts w:eastAsia="MingLiU"/>
                <w:sz w:val="21"/>
                <w:szCs w:val="21"/>
              </w:rPr>
            </w:pPr>
          </w:p>
        </w:tc>
        <w:tc>
          <w:tcPr>
            <w:tcW w:w="878" w:type="dxa"/>
            <w:shd w:val="clear" w:color="auto" w:fill="E6E6E6"/>
            <w:vAlign w:val="center"/>
          </w:tcPr>
          <w:p>
            <w:pPr>
              <w:widowControl/>
              <w:ind w:firstLine="0" w:firstLineChars="0"/>
              <w:jc w:val="center"/>
              <w:rPr>
                <w:rFonts w:eastAsia="MingLiU"/>
                <w:sz w:val="21"/>
                <w:szCs w:val="21"/>
              </w:rPr>
            </w:pPr>
            <w:r>
              <w:rPr>
                <w:rFonts w:hAnsi="MingLiU" w:eastAsia="MingLiU"/>
                <w:sz w:val="21"/>
                <w:szCs w:val="21"/>
              </w:rPr>
              <w:t>桃園</w:t>
            </w:r>
          </w:p>
          <w:p>
            <w:pPr>
              <w:widowControl/>
              <w:ind w:firstLine="0" w:firstLineChars="0"/>
              <w:jc w:val="center"/>
              <w:rPr>
                <w:rFonts w:eastAsia="MingLiU"/>
                <w:sz w:val="21"/>
                <w:szCs w:val="21"/>
              </w:rPr>
            </w:pPr>
            <w:r>
              <w:rPr>
                <w:rFonts w:hAnsi="MingLiU" w:eastAsia="MingLiU"/>
                <w:sz w:val="21"/>
                <w:szCs w:val="21"/>
              </w:rPr>
              <w:t>機場</w:t>
            </w:r>
          </w:p>
        </w:tc>
        <w:tc>
          <w:tcPr>
            <w:tcW w:w="763" w:type="dxa"/>
            <w:shd w:val="clear" w:color="auto" w:fill="E6E6E6"/>
            <w:vAlign w:val="center"/>
          </w:tcPr>
          <w:p>
            <w:pPr>
              <w:widowControl/>
              <w:ind w:firstLine="0" w:firstLineChars="0"/>
              <w:jc w:val="center"/>
              <w:rPr>
                <w:rFonts w:eastAsia="MingLiU"/>
                <w:sz w:val="21"/>
                <w:szCs w:val="21"/>
              </w:rPr>
            </w:pPr>
            <w:r>
              <w:rPr>
                <w:rFonts w:hAnsi="MingLiU" w:eastAsia="MingLiU"/>
                <w:sz w:val="21"/>
                <w:szCs w:val="21"/>
              </w:rPr>
              <w:t>台中</w:t>
            </w:r>
          </w:p>
          <w:p>
            <w:pPr>
              <w:widowControl/>
              <w:ind w:firstLine="0" w:firstLineChars="0"/>
              <w:jc w:val="center"/>
              <w:rPr>
                <w:rFonts w:eastAsia="MingLiU"/>
                <w:sz w:val="21"/>
                <w:szCs w:val="21"/>
              </w:rPr>
            </w:pPr>
            <w:r>
              <w:rPr>
                <w:rFonts w:hAnsi="MingLiU" w:eastAsia="MingLiU"/>
                <w:sz w:val="21"/>
                <w:szCs w:val="21"/>
              </w:rPr>
              <w:t>機場</w:t>
            </w:r>
          </w:p>
        </w:tc>
        <w:tc>
          <w:tcPr>
            <w:tcW w:w="879" w:type="dxa"/>
            <w:shd w:val="clear" w:color="auto" w:fill="E6E6E6"/>
            <w:vAlign w:val="center"/>
          </w:tcPr>
          <w:p>
            <w:pPr>
              <w:widowControl/>
              <w:ind w:firstLine="0" w:firstLineChars="0"/>
              <w:jc w:val="center"/>
              <w:rPr>
                <w:rFonts w:eastAsia="MingLiU"/>
                <w:sz w:val="21"/>
                <w:szCs w:val="21"/>
              </w:rPr>
            </w:pPr>
            <w:r>
              <w:rPr>
                <w:rFonts w:hAnsi="MingLiU" w:eastAsia="MingLiU"/>
                <w:sz w:val="21"/>
                <w:szCs w:val="21"/>
              </w:rPr>
              <w:t>小港</w:t>
            </w:r>
          </w:p>
          <w:p>
            <w:pPr>
              <w:widowControl/>
              <w:ind w:firstLine="0" w:firstLineChars="0"/>
              <w:jc w:val="center"/>
              <w:rPr>
                <w:rFonts w:eastAsia="MingLiU"/>
                <w:sz w:val="21"/>
                <w:szCs w:val="21"/>
              </w:rPr>
            </w:pPr>
            <w:r>
              <w:rPr>
                <w:rFonts w:hAnsi="MingLiU" w:eastAsia="MingLiU"/>
                <w:sz w:val="21"/>
                <w:szCs w:val="21"/>
              </w:rPr>
              <w:t>機場</w:t>
            </w:r>
          </w:p>
        </w:tc>
        <w:tc>
          <w:tcPr>
            <w:tcW w:w="810" w:type="dxa"/>
            <w:shd w:val="clear" w:color="auto" w:fill="E6E6E6"/>
            <w:vAlign w:val="center"/>
          </w:tcPr>
          <w:p>
            <w:pPr>
              <w:widowControl/>
              <w:ind w:firstLine="0" w:firstLineChars="0"/>
              <w:jc w:val="center"/>
              <w:rPr>
                <w:rFonts w:eastAsia="MingLiU"/>
                <w:sz w:val="21"/>
                <w:szCs w:val="21"/>
              </w:rPr>
            </w:pPr>
            <w:r>
              <w:rPr>
                <w:rFonts w:hAnsi="MingLiU" w:eastAsia="MingLiU"/>
                <w:sz w:val="21"/>
                <w:szCs w:val="21"/>
              </w:rPr>
              <w:t>其他</w:t>
            </w:r>
          </w:p>
        </w:tc>
        <w:tc>
          <w:tcPr>
            <w:tcW w:w="933" w:type="dxa"/>
            <w:shd w:val="clear" w:color="auto" w:fill="E6E6E6"/>
            <w:vAlign w:val="center"/>
          </w:tcPr>
          <w:p>
            <w:pPr>
              <w:widowControl/>
              <w:ind w:firstLine="0" w:firstLineChars="0"/>
              <w:jc w:val="center"/>
              <w:rPr>
                <w:rFonts w:eastAsia="MingLiU"/>
                <w:sz w:val="21"/>
                <w:szCs w:val="21"/>
              </w:rPr>
            </w:pPr>
            <w:r>
              <w:rPr>
                <w:rFonts w:hAnsi="MingLiU" w:eastAsia="MingLiU"/>
                <w:sz w:val="21"/>
                <w:szCs w:val="21"/>
              </w:rPr>
              <w:t>高雄港</w:t>
            </w:r>
          </w:p>
        </w:tc>
        <w:tc>
          <w:tcPr>
            <w:tcW w:w="863" w:type="dxa"/>
            <w:shd w:val="clear" w:color="auto" w:fill="E6E6E6"/>
            <w:vAlign w:val="center"/>
          </w:tcPr>
          <w:p>
            <w:pPr>
              <w:widowControl/>
              <w:ind w:firstLine="0" w:firstLineChars="0"/>
              <w:jc w:val="center"/>
              <w:rPr>
                <w:rFonts w:eastAsia="MingLiU"/>
                <w:sz w:val="21"/>
                <w:szCs w:val="21"/>
              </w:rPr>
            </w:pPr>
            <w:r>
              <w:rPr>
                <w:rFonts w:hAnsi="MingLiU" w:eastAsia="MingLiU"/>
                <w:sz w:val="21"/>
                <w:szCs w:val="21"/>
              </w:rPr>
              <w:t>基隆港</w:t>
            </w:r>
          </w:p>
        </w:tc>
        <w:tc>
          <w:tcPr>
            <w:tcW w:w="863" w:type="dxa"/>
            <w:shd w:val="clear" w:color="auto" w:fill="E6E6E6"/>
            <w:vAlign w:val="center"/>
          </w:tcPr>
          <w:p>
            <w:pPr>
              <w:widowControl/>
              <w:ind w:firstLine="0" w:firstLineChars="0"/>
              <w:jc w:val="center"/>
              <w:rPr>
                <w:rFonts w:eastAsia="MingLiU"/>
                <w:sz w:val="21"/>
                <w:szCs w:val="21"/>
              </w:rPr>
            </w:pPr>
            <w:r>
              <w:rPr>
                <w:rFonts w:hAnsi="MingLiU" w:eastAsia="MingLiU"/>
                <w:sz w:val="21"/>
                <w:szCs w:val="21"/>
              </w:rPr>
              <w:t>外島</w:t>
            </w:r>
          </w:p>
          <w:p>
            <w:pPr>
              <w:widowControl/>
              <w:ind w:firstLine="0" w:firstLineChars="0"/>
              <w:jc w:val="center"/>
              <w:rPr>
                <w:rFonts w:eastAsia="MingLiU"/>
                <w:sz w:val="21"/>
                <w:szCs w:val="21"/>
              </w:rPr>
            </w:pPr>
            <w:r>
              <w:rPr>
                <w:rFonts w:hAnsi="MingLiU" w:eastAsia="MingLiU"/>
                <w:sz w:val="21"/>
                <w:szCs w:val="21"/>
              </w:rPr>
              <w:t>離島</w:t>
            </w:r>
          </w:p>
        </w:tc>
        <w:tc>
          <w:tcPr>
            <w:tcW w:w="763" w:type="dxa"/>
            <w:shd w:val="clear" w:color="auto" w:fill="E6E6E6"/>
            <w:vAlign w:val="center"/>
          </w:tcPr>
          <w:p>
            <w:pPr>
              <w:widowControl/>
              <w:ind w:firstLine="0" w:firstLineChars="0"/>
              <w:jc w:val="center"/>
              <w:rPr>
                <w:rFonts w:eastAsia="MingLiU"/>
                <w:sz w:val="21"/>
                <w:szCs w:val="21"/>
              </w:rPr>
            </w:pPr>
            <w:r>
              <w:rPr>
                <w:rFonts w:hAnsi="MingLiU" w:eastAsia="MingLiU"/>
                <w:sz w:val="21"/>
                <w:szCs w:val="21"/>
              </w:rPr>
              <w:t>其他</w:t>
            </w:r>
          </w:p>
        </w:tc>
        <w:tc>
          <w:tcPr>
            <w:tcW w:w="828" w:type="dxa"/>
            <w:vMerge w:val="continue"/>
            <w:shd w:val="clear" w:color="auto" w:fill="E6E6E6"/>
            <w:vAlign w:val="center"/>
          </w:tcPr>
          <w:p>
            <w:pPr>
              <w:widowControl/>
              <w:ind w:firstLine="0" w:firstLineChars="0"/>
              <w:jc w:val="center"/>
              <w:rPr>
                <w:rFonts w:eastAsia="MingLiU"/>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hAnsi="MingLiU" w:eastAsia="MingLiU"/>
                <w:sz w:val="21"/>
                <w:szCs w:val="21"/>
              </w:rPr>
              <w:t>愷他命</w:t>
            </w:r>
          </w:p>
        </w:tc>
        <w:tc>
          <w:tcPr>
            <w:tcW w:w="878" w:type="dxa"/>
            <w:vAlign w:val="center"/>
          </w:tcPr>
          <w:p>
            <w:pPr>
              <w:widowControl/>
              <w:ind w:firstLine="0" w:firstLineChars="0"/>
              <w:jc w:val="center"/>
              <w:rPr>
                <w:rFonts w:eastAsia="MingLiU"/>
                <w:sz w:val="21"/>
                <w:szCs w:val="21"/>
              </w:rPr>
            </w:pPr>
            <w:r>
              <w:rPr>
                <w:rFonts w:eastAsia="MingLiU"/>
                <w:sz w:val="21"/>
                <w:szCs w:val="21"/>
              </w:rPr>
              <w:t>142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71.72%</w:t>
            </w:r>
          </w:p>
        </w:tc>
        <w:tc>
          <w:tcPr>
            <w:tcW w:w="763" w:type="dxa"/>
            <w:vAlign w:val="center"/>
          </w:tcPr>
          <w:p>
            <w:pPr>
              <w:widowControl/>
              <w:ind w:firstLine="0" w:firstLineChars="0"/>
              <w:jc w:val="center"/>
              <w:rPr>
                <w:rFonts w:eastAsia="MingLiU"/>
                <w:sz w:val="21"/>
                <w:szCs w:val="21"/>
              </w:rPr>
            </w:pPr>
            <w:r>
              <w:rPr>
                <w:rFonts w:eastAsia="MingLiU"/>
                <w:sz w:val="21"/>
                <w:szCs w:val="21"/>
              </w:rPr>
              <w:t>3</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1.52%</w:t>
            </w:r>
          </w:p>
        </w:tc>
        <w:tc>
          <w:tcPr>
            <w:tcW w:w="879" w:type="dxa"/>
            <w:vAlign w:val="center"/>
          </w:tcPr>
          <w:p>
            <w:pPr>
              <w:widowControl/>
              <w:ind w:firstLine="0" w:firstLineChars="0"/>
              <w:jc w:val="center"/>
              <w:rPr>
                <w:rFonts w:eastAsia="MingLiU"/>
                <w:sz w:val="21"/>
                <w:szCs w:val="21"/>
              </w:rPr>
            </w:pPr>
            <w:r>
              <w:rPr>
                <w:rFonts w:eastAsia="MingLiU"/>
                <w:sz w:val="21"/>
                <w:szCs w:val="21"/>
              </w:rPr>
              <w:t>9</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4.55%</w:t>
            </w:r>
          </w:p>
        </w:tc>
        <w:tc>
          <w:tcPr>
            <w:tcW w:w="810" w:type="dxa"/>
            <w:vAlign w:val="center"/>
          </w:tcPr>
          <w:p>
            <w:pPr>
              <w:widowControl/>
              <w:ind w:firstLine="0" w:firstLineChars="0"/>
              <w:jc w:val="center"/>
              <w:rPr>
                <w:rFonts w:eastAsia="MingLiU"/>
                <w:sz w:val="21"/>
                <w:szCs w:val="21"/>
              </w:rPr>
            </w:pPr>
            <w:r>
              <w:rPr>
                <w:rFonts w:eastAsia="MingLiU"/>
                <w:sz w:val="21"/>
                <w:szCs w:val="21"/>
              </w:rPr>
              <w:t>6</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3.03%</w:t>
            </w:r>
          </w:p>
        </w:tc>
        <w:tc>
          <w:tcPr>
            <w:tcW w:w="933" w:type="dxa"/>
            <w:vAlign w:val="center"/>
          </w:tcPr>
          <w:p>
            <w:pPr>
              <w:widowControl/>
              <w:ind w:firstLine="0" w:firstLineChars="0"/>
              <w:jc w:val="center"/>
              <w:rPr>
                <w:rFonts w:eastAsia="MingLiU"/>
                <w:sz w:val="21"/>
                <w:szCs w:val="21"/>
              </w:rPr>
            </w:pPr>
            <w:r>
              <w:rPr>
                <w:rFonts w:eastAsia="MingLiU"/>
                <w:sz w:val="21"/>
                <w:szCs w:val="21"/>
              </w:rPr>
              <w:t>9</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4.55%</w:t>
            </w:r>
          </w:p>
        </w:tc>
        <w:tc>
          <w:tcPr>
            <w:tcW w:w="863" w:type="dxa"/>
            <w:vAlign w:val="center"/>
          </w:tcPr>
          <w:p>
            <w:pPr>
              <w:widowControl/>
              <w:ind w:firstLine="0" w:firstLineChars="0"/>
              <w:jc w:val="center"/>
              <w:rPr>
                <w:rFonts w:eastAsia="MingLiU"/>
                <w:sz w:val="21"/>
                <w:szCs w:val="21"/>
              </w:rPr>
            </w:pPr>
            <w:r>
              <w:rPr>
                <w:rFonts w:eastAsia="MingLiU"/>
                <w:sz w:val="21"/>
                <w:szCs w:val="21"/>
              </w:rPr>
              <w:t>10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5.05%</w:t>
            </w:r>
          </w:p>
        </w:tc>
        <w:tc>
          <w:tcPr>
            <w:tcW w:w="863" w:type="dxa"/>
            <w:vAlign w:val="center"/>
          </w:tcPr>
          <w:p>
            <w:pPr>
              <w:widowControl/>
              <w:ind w:firstLine="0" w:firstLineChars="0"/>
              <w:jc w:val="center"/>
              <w:rPr>
                <w:rFonts w:eastAsia="MingLiU"/>
                <w:sz w:val="21"/>
                <w:szCs w:val="21"/>
              </w:rPr>
            </w:pPr>
            <w:r>
              <w:rPr>
                <w:rFonts w:eastAsia="MingLiU"/>
                <w:sz w:val="21"/>
                <w:szCs w:val="21"/>
              </w:rPr>
              <w:t>8</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4.04%</w:t>
            </w:r>
          </w:p>
        </w:tc>
        <w:tc>
          <w:tcPr>
            <w:tcW w:w="763" w:type="dxa"/>
            <w:vAlign w:val="center"/>
          </w:tcPr>
          <w:p>
            <w:pPr>
              <w:widowControl/>
              <w:ind w:firstLine="0" w:firstLineChars="0"/>
              <w:jc w:val="center"/>
              <w:rPr>
                <w:rFonts w:eastAsia="MingLiU"/>
                <w:sz w:val="21"/>
                <w:szCs w:val="21"/>
              </w:rPr>
            </w:pPr>
            <w:r>
              <w:rPr>
                <w:rFonts w:eastAsia="MingLiU"/>
                <w:sz w:val="21"/>
                <w:szCs w:val="21"/>
              </w:rPr>
              <w:t>11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5.56%</w:t>
            </w:r>
          </w:p>
        </w:tc>
        <w:tc>
          <w:tcPr>
            <w:tcW w:w="828" w:type="dxa"/>
            <w:vAlign w:val="center"/>
          </w:tcPr>
          <w:p>
            <w:pPr>
              <w:widowControl/>
              <w:ind w:firstLine="0" w:firstLineChars="0"/>
              <w:jc w:val="center"/>
              <w:rPr>
                <w:rFonts w:eastAsia="MingLiU"/>
                <w:sz w:val="21"/>
                <w:szCs w:val="21"/>
              </w:rPr>
            </w:pPr>
            <w:r>
              <w:rPr>
                <w:rFonts w:eastAsia="MingLiU"/>
                <w:sz w:val="21"/>
                <w:szCs w:val="21"/>
              </w:rPr>
              <w:t>198</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hAnsi="MingLiU" w:eastAsia="MingLiU"/>
                <w:sz w:val="21"/>
                <w:szCs w:val="21"/>
              </w:rPr>
              <w:t>海洛因</w:t>
            </w:r>
          </w:p>
        </w:tc>
        <w:tc>
          <w:tcPr>
            <w:tcW w:w="878" w:type="dxa"/>
            <w:vAlign w:val="center"/>
          </w:tcPr>
          <w:p>
            <w:pPr>
              <w:widowControl/>
              <w:ind w:firstLine="0" w:firstLineChars="0"/>
              <w:jc w:val="center"/>
              <w:rPr>
                <w:rFonts w:eastAsia="MingLiU"/>
                <w:sz w:val="21"/>
                <w:szCs w:val="21"/>
              </w:rPr>
            </w:pPr>
            <w:r>
              <w:rPr>
                <w:rFonts w:eastAsia="MingLiU"/>
                <w:sz w:val="21"/>
                <w:szCs w:val="21"/>
              </w:rPr>
              <w:t>110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62.50%</w:t>
            </w:r>
          </w:p>
        </w:tc>
        <w:tc>
          <w:tcPr>
            <w:tcW w:w="763" w:type="dxa"/>
            <w:vAlign w:val="center"/>
          </w:tcPr>
          <w:p>
            <w:pPr>
              <w:widowControl/>
              <w:ind w:firstLine="0" w:firstLineChars="0"/>
              <w:jc w:val="center"/>
              <w:rPr>
                <w:rFonts w:eastAsia="MingLiU"/>
                <w:sz w:val="21"/>
                <w:szCs w:val="21"/>
              </w:rPr>
            </w:pPr>
            <w:r>
              <w:rPr>
                <w:rFonts w:eastAsia="MingLiU"/>
                <w:sz w:val="21"/>
                <w:szCs w:val="21"/>
              </w:rPr>
              <w:t>13</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7.39%</w:t>
            </w:r>
          </w:p>
        </w:tc>
        <w:tc>
          <w:tcPr>
            <w:tcW w:w="879" w:type="dxa"/>
            <w:vAlign w:val="center"/>
          </w:tcPr>
          <w:p>
            <w:pPr>
              <w:widowControl/>
              <w:ind w:firstLine="0" w:firstLineChars="0"/>
              <w:jc w:val="center"/>
              <w:rPr>
                <w:rFonts w:eastAsia="MingLiU"/>
                <w:sz w:val="21"/>
                <w:szCs w:val="21"/>
              </w:rPr>
            </w:pPr>
            <w:r>
              <w:rPr>
                <w:rFonts w:eastAsia="MingLiU"/>
                <w:sz w:val="21"/>
                <w:szCs w:val="21"/>
              </w:rPr>
              <w:t>32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18.18%</w:t>
            </w:r>
          </w:p>
        </w:tc>
        <w:tc>
          <w:tcPr>
            <w:tcW w:w="810" w:type="dxa"/>
            <w:vAlign w:val="center"/>
          </w:tcPr>
          <w:p>
            <w:pPr>
              <w:widowControl/>
              <w:ind w:firstLine="0" w:firstLineChars="0"/>
              <w:jc w:val="center"/>
              <w:rPr>
                <w:rFonts w:eastAsia="MingLiU"/>
                <w:sz w:val="21"/>
                <w:szCs w:val="21"/>
              </w:rPr>
            </w:pPr>
            <w:r>
              <w:rPr>
                <w:rFonts w:eastAsia="MingLiU"/>
                <w:sz w:val="21"/>
                <w:szCs w:val="21"/>
              </w:rPr>
              <w:t>6</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3.41%</w:t>
            </w:r>
          </w:p>
        </w:tc>
        <w:tc>
          <w:tcPr>
            <w:tcW w:w="933" w:type="dxa"/>
            <w:vAlign w:val="center"/>
          </w:tcPr>
          <w:p>
            <w:pPr>
              <w:widowControl/>
              <w:ind w:firstLine="0" w:firstLineChars="0"/>
              <w:jc w:val="center"/>
              <w:rPr>
                <w:rFonts w:eastAsia="MingLiU"/>
                <w:sz w:val="21"/>
                <w:szCs w:val="21"/>
              </w:rPr>
            </w:pPr>
            <w:r>
              <w:rPr>
                <w:rFonts w:eastAsia="MingLiU"/>
                <w:sz w:val="21"/>
                <w:szCs w:val="21"/>
              </w:rPr>
              <w:t>6</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3.41%</w:t>
            </w:r>
          </w:p>
        </w:tc>
        <w:tc>
          <w:tcPr>
            <w:tcW w:w="863" w:type="dxa"/>
            <w:vAlign w:val="center"/>
          </w:tcPr>
          <w:p>
            <w:pPr>
              <w:widowControl/>
              <w:ind w:firstLine="0" w:firstLineChars="0"/>
              <w:jc w:val="center"/>
              <w:rPr>
                <w:rFonts w:eastAsia="MingLiU"/>
                <w:sz w:val="21"/>
                <w:szCs w:val="21"/>
              </w:rPr>
            </w:pPr>
            <w:r>
              <w:rPr>
                <w:rFonts w:eastAsia="MingLiU"/>
                <w:sz w:val="21"/>
                <w:szCs w:val="21"/>
              </w:rPr>
              <w:t>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1.14%</w:t>
            </w:r>
          </w:p>
        </w:tc>
        <w:tc>
          <w:tcPr>
            <w:tcW w:w="863" w:type="dxa"/>
            <w:vAlign w:val="center"/>
          </w:tcPr>
          <w:p>
            <w:pPr>
              <w:widowControl/>
              <w:ind w:firstLine="0" w:firstLineChars="0"/>
              <w:jc w:val="center"/>
              <w:rPr>
                <w:rFonts w:eastAsia="MingLiU"/>
                <w:sz w:val="21"/>
                <w:szCs w:val="21"/>
              </w:rPr>
            </w:pPr>
            <w:r>
              <w:rPr>
                <w:rFonts w:eastAsia="MingLiU"/>
                <w:sz w:val="21"/>
                <w:szCs w:val="21"/>
              </w:rPr>
              <w:t>6</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3.41%</w:t>
            </w:r>
          </w:p>
        </w:tc>
        <w:tc>
          <w:tcPr>
            <w:tcW w:w="763"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0.57%</w:t>
            </w:r>
          </w:p>
        </w:tc>
        <w:tc>
          <w:tcPr>
            <w:tcW w:w="828" w:type="dxa"/>
            <w:vAlign w:val="center"/>
          </w:tcPr>
          <w:p>
            <w:pPr>
              <w:widowControl/>
              <w:ind w:firstLine="0" w:firstLineChars="0"/>
              <w:jc w:val="center"/>
              <w:rPr>
                <w:rFonts w:eastAsia="MingLiU"/>
                <w:sz w:val="21"/>
                <w:szCs w:val="21"/>
              </w:rPr>
            </w:pPr>
            <w:r>
              <w:rPr>
                <w:rFonts w:eastAsia="MingLiU"/>
                <w:sz w:val="21"/>
                <w:szCs w:val="21"/>
              </w:rPr>
              <w:t>176</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hAnsi="MingLiU" w:eastAsia="MingLiU"/>
                <w:sz w:val="21"/>
                <w:szCs w:val="21"/>
              </w:rPr>
              <w:t>安非他命類</w:t>
            </w:r>
          </w:p>
        </w:tc>
        <w:tc>
          <w:tcPr>
            <w:tcW w:w="878" w:type="dxa"/>
            <w:vAlign w:val="center"/>
          </w:tcPr>
          <w:p>
            <w:pPr>
              <w:widowControl/>
              <w:ind w:firstLine="0" w:firstLineChars="0"/>
              <w:jc w:val="center"/>
              <w:rPr>
                <w:rFonts w:eastAsia="MingLiU"/>
                <w:sz w:val="21"/>
                <w:szCs w:val="21"/>
              </w:rPr>
            </w:pPr>
            <w:r>
              <w:rPr>
                <w:rFonts w:eastAsia="MingLiU"/>
                <w:sz w:val="21"/>
                <w:szCs w:val="21"/>
              </w:rPr>
              <w:t>22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51.16%</w:t>
            </w:r>
          </w:p>
        </w:tc>
        <w:tc>
          <w:tcPr>
            <w:tcW w:w="763"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2.33%</w:t>
            </w:r>
          </w:p>
        </w:tc>
        <w:tc>
          <w:tcPr>
            <w:tcW w:w="879" w:type="dxa"/>
            <w:vAlign w:val="center"/>
          </w:tcPr>
          <w:p>
            <w:pPr>
              <w:widowControl/>
              <w:ind w:firstLine="0" w:firstLineChars="0"/>
              <w:jc w:val="center"/>
              <w:rPr>
                <w:rFonts w:eastAsia="MingLiU"/>
                <w:sz w:val="21"/>
                <w:szCs w:val="21"/>
              </w:rPr>
            </w:pPr>
            <w:r>
              <w:rPr>
                <w:rFonts w:eastAsia="MingLiU"/>
                <w:sz w:val="21"/>
                <w:szCs w:val="21"/>
              </w:rPr>
              <w:t>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4.65%</w:t>
            </w:r>
          </w:p>
        </w:tc>
        <w:tc>
          <w:tcPr>
            <w:tcW w:w="810" w:type="dxa"/>
            <w:vAlign w:val="center"/>
          </w:tcPr>
          <w:p>
            <w:pPr>
              <w:widowControl/>
              <w:ind w:firstLine="0" w:firstLineChars="0"/>
              <w:jc w:val="center"/>
              <w:rPr>
                <w:rFonts w:eastAsia="MingLiU"/>
                <w:sz w:val="21"/>
                <w:szCs w:val="21"/>
              </w:rPr>
            </w:pPr>
            <w:r>
              <w:rPr>
                <w:rFonts w:eastAsia="MingLiU"/>
                <w:sz w:val="21"/>
                <w:szCs w:val="21"/>
              </w:rPr>
              <w:t>3</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6.98%</w:t>
            </w:r>
          </w:p>
        </w:tc>
        <w:tc>
          <w:tcPr>
            <w:tcW w:w="933" w:type="dxa"/>
            <w:vAlign w:val="center"/>
          </w:tcPr>
          <w:p>
            <w:pPr>
              <w:widowControl/>
              <w:ind w:firstLine="0" w:firstLineChars="0"/>
              <w:jc w:val="center"/>
              <w:rPr>
                <w:rFonts w:eastAsia="MingLiU"/>
                <w:sz w:val="21"/>
                <w:szCs w:val="21"/>
              </w:rPr>
            </w:pPr>
            <w:r>
              <w:rPr>
                <w:rFonts w:eastAsia="MingLiU"/>
                <w:sz w:val="21"/>
                <w:szCs w:val="21"/>
              </w:rPr>
              <w:t>4</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9.30%</w:t>
            </w:r>
          </w:p>
        </w:tc>
        <w:tc>
          <w:tcPr>
            <w:tcW w:w="863"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2.33%</w:t>
            </w:r>
          </w:p>
        </w:tc>
        <w:tc>
          <w:tcPr>
            <w:tcW w:w="863" w:type="dxa"/>
            <w:vAlign w:val="center"/>
          </w:tcPr>
          <w:p>
            <w:pPr>
              <w:widowControl/>
              <w:ind w:firstLine="0" w:firstLineChars="0"/>
              <w:jc w:val="center"/>
              <w:rPr>
                <w:rFonts w:eastAsia="MingLiU"/>
                <w:sz w:val="21"/>
                <w:szCs w:val="21"/>
              </w:rPr>
            </w:pPr>
            <w:r>
              <w:rPr>
                <w:rFonts w:eastAsia="MingLiU"/>
                <w:sz w:val="21"/>
                <w:szCs w:val="21"/>
              </w:rPr>
              <w:t>6</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13.95%</w:t>
            </w:r>
          </w:p>
        </w:tc>
        <w:tc>
          <w:tcPr>
            <w:tcW w:w="763" w:type="dxa"/>
            <w:vAlign w:val="center"/>
          </w:tcPr>
          <w:p>
            <w:pPr>
              <w:widowControl/>
              <w:ind w:firstLine="0" w:firstLineChars="0"/>
              <w:jc w:val="center"/>
              <w:rPr>
                <w:rFonts w:eastAsia="MingLiU"/>
                <w:sz w:val="21"/>
                <w:szCs w:val="21"/>
              </w:rPr>
            </w:pPr>
            <w:r>
              <w:rPr>
                <w:rFonts w:eastAsia="MingLiU"/>
                <w:sz w:val="21"/>
                <w:szCs w:val="21"/>
              </w:rPr>
              <w:t>4</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9.30%</w:t>
            </w:r>
          </w:p>
        </w:tc>
        <w:tc>
          <w:tcPr>
            <w:tcW w:w="828" w:type="dxa"/>
            <w:vAlign w:val="center"/>
          </w:tcPr>
          <w:p>
            <w:pPr>
              <w:widowControl/>
              <w:ind w:firstLine="0" w:firstLineChars="0"/>
              <w:jc w:val="center"/>
              <w:rPr>
                <w:rFonts w:eastAsia="MingLiU"/>
                <w:sz w:val="21"/>
                <w:szCs w:val="21"/>
              </w:rPr>
            </w:pPr>
            <w:r>
              <w:rPr>
                <w:rFonts w:eastAsia="MingLiU"/>
                <w:sz w:val="21"/>
                <w:szCs w:val="21"/>
              </w:rPr>
              <w:t>43</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eastAsia="MingLiU"/>
                <w:sz w:val="21"/>
                <w:szCs w:val="21"/>
              </w:rPr>
              <w:t>MDMA</w:t>
            </w:r>
          </w:p>
        </w:tc>
        <w:tc>
          <w:tcPr>
            <w:tcW w:w="878" w:type="dxa"/>
            <w:vAlign w:val="center"/>
          </w:tcPr>
          <w:p>
            <w:pPr>
              <w:widowControl/>
              <w:ind w:firstLine="0" w:firstLineChars="0"/>
              <w:jc w:val="center"/>
              <w:rPr>
                <w:rFonts w:eastAsia="MingLiU"/>
                <w:sz w:val="21"/>
                <w:szCs w:val="21"/>
              </w:rPr>
            </w:pPr>
            <w:r>
              <w:rPr>
                <w:rFonts w:eastAsia="MingLiU"/>
                <w:sz w:val="21"/>
                <w:szCs w:val="21"/>
              </w:rPr>
              <w:t>10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83.33%</w:t>
            </w:r>
          </w:p>
        </w:tc>
        <w:tc>
          <w:tcPr>
            <w:tcW w:w="7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79"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8.33%</w:t>
            </w:r>
          </w:p>
        </w:tc>
        <w:tc>
          <w:tcPr>
            <w:tcW w:w="810"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93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763"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8.33%</w:t>
            </w:r>
          </w:p>
        </w:tc>
        <w:tc>
          <w:tcPr>
            <w:tcW w:w="828" w:type="dxa"/>
            <w:vAlign w:val="center"/>
          </w:tcPr>
          <w:p>
            <w:pPr>
              <w:widowControl/>
              <w:ind w:firstLine="0" w:firstLineChars="0"/>
              <w:jc w:val="center"/>
              <w:rPr>
                <w:rFonts w:eastAsia="MingLiU"/>
                <w:sz w:val="21"/>
                <w:szCs w:val="21"/>
              </w:rPr>
            </w:pPr>
            <w:r>
              <w:rPr>
                <w:rFonts w:eastAsia="MingLiU"/>
                <w:sz w:val="21"/>
                <w:szCs w:val="21"/>
              </w:rPr>
              <w:t>12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hAnsi="MingLiU" w:eastAsia="MingLiU"/>
                <w:sz w:val="21"/>
                <w:szCs w:val="21"/>
              </w:rPr>
              <w:t>混合販運</w:t>
            </w:r>
          </w:p>
        </w:tc>
        <w:tc>
          <w:tcPr>
            <w:tcW w:w="878" w:type="dxa"/>
            <w:vAlign w:val="center"/>
          </w:tcPr>
          <w:p>
            <w:pPr>
              <w:widowControl/>
              <w:ind w:firstLine="0" w:firstLineChars="0"/>
              <w:jc w:val="center"/>
              <w:rPr>
                <w:rFonts w:eastAsia="MingLiU"/>
                <w:sz w:val="21"/>
                <w:szCs w:val="21"/>
              </w:rPr>
            </w:pPr>
            <w:r>
              <w:rPr>
                <w:rFonts w:eastAsia="MingLiU"/>
                <w:sz w:val="21"/>
                <w:szCs w:val="21"/>
              </w:rPr>
              <w:t>11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50.00%</w:t>
            </w:r>
          </w:p>
        </w:tc>
        <w:tc>
          <w:tcPr>
            <w:tcW w:w="7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79"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10" w:type="dxa"/>
            <w:vAlign w:val="center"/>
          </w:tcPr>
          <w:p>
            <w:pPr>
              <w:widowControl/>
              <w:ind w:firstLine="0" w:firstLineChars="0"/>
              <w:jc w:val="center"/>
              <w:rPr>
                <w:rFonts w:eastAsia="MingLiU"/>
                <w:sz w:val="21"/>
                <w:szCs w:val="21"/>
              </w:rPr>
            </w:pPr>
            <w:r>
              <w:rPr>
                <w:rFonts w:eastAsia="MingLiU"/>
                <w:sz w:val="21"/>
                <w:szCs w:val="21"/>
              </w:rPr>
              <w:t>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9.09%</w:t>
            </w:r>
          </w:p>
        </w:tc>
        <w:tc>
          <w:tcPr>
            <w:tcW w:w="933"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4.55%</w:t>
            </w:r>
          </w:p>
        </w:tc>
        <w:tc>
          <w:tcPr>
            <w:tcW w:w="863"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4.55%</w:t>
            </w:r>
          </w:p>
        </w:tc>
        <w:tc>
          <w:tcPr>
            <w:tcW w:w="863" w:type="dxa"/>
            <w:vAlign w:val="center"/>
          </w:tcPr>
          <w:p>
            <w:pPr>
              <w:widowControl/>
              <w:ind w:firstLine="0" w:firstLineChars="0"/>
              <w:jc w:val="center"/>
              <w:rPr>
                <w:rFonts w:eastAsia="MingLiU"/>
                <w:sz w:val="21"/>
                <w:szCs w:val="21"/>
              </w:rPr>
            </w:pPr>
            <w:r>
              <w:rPr>
                <w:rFonts w:eastAsia="MingLiU"/>
                <w:sz w:val="21"/>
                <w:szCs w:val="21"/>
              </w:rPr>
              <w:t>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9.09%</w:t>
            </w:r>
          </w:p>
        </w:tc>
        <w:tc>
          <w:tcPr>
            <w:tcW w:w="763" w:type="dxa"/>
            <w:vAlign w:val="center"/>
          </w:tcPr>
          <w:p>
            <w:pPr>
              <w:widowControl/>
              <w:ind w:firstLine="0" w:firstLineChars="0"/>
              <w:jc w:val="center"/>
              <w:rPr>
                <w:rFonts w:eastAsia="MingLiU"/>
                <w:sz w:val="21"/>
                <w:szCs w:val="21"/>
              </w:rPr>
            </w:pPr>
            <w:r>
              <w:rPr>
                <w:rFonts w:eastAsia="MingLiU"/>
                <w:sz w:val="21"/>
                <w:szCs w:val="21"/>
              </w:rPr>
              <w:t>5</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22.73%</w:t>
            </w:r>
          </w:p>
        </w:tc>
        <w:tc>
          <w:tcPr>
            <w:tcW w:w="828" w:type="dxa"/>
            <w:vAlign w:val="center"/>
          </w:tcPr>
          <w:p>
            <w:pPr>
              <w:widowControl/>
              <w:ind w:firstLine="0" w:firstLineChars="0"/>
              <w:jc w:val="center"/>
              <w:rPr>
                <w:rFonts w:eastAsia="MingLiU"/>
                <w:sz w:val="21"/>
                <w:szCs w:val="21"/>
              </w:rPr>
            </w:pPr>
            <w:r>
              <w:rPr>
                <w:rFonts w:eastAsia="MingLiU"/>
                <w:sz w:val="21"/>
                <w:szCs w:val="21"/>
              </w:rPr>
              <w:t>22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hAnsi="MingLiU" w:eastAsia="MingLiU"/>
                <w:sz w:val="21"/>
                <w:szCs w:val="21"/>
              </w:rPr>
              <w:t>大麻類</w:t>
            </w:r>
          </w:p>
        </w:tc>
        <w:tc>
          <w:tcPr>
            <w:tcW w:w="878" w:type="dxa"/>
            <w:vAlign w:val="center"/>
          </w:tcPr>
          <w:p>
            <w:pPr>
              <w:widowControl/>
              <w:ind w:firstLine="0" w:firstLineChars="0"/>
              <w:jc w:val="center"/>
              <w:rPr>
                <w:rFonts w:eastAsia="MingLiU"/>
                <w:sz w:val="21"/>
                <w:szCs w:val="21"/>
              </w:rPr>
            </w:pPr>
            <w:r>
              <w:rPr>
                <w:rFonts w:eastAsia="MingLiU"/>
                <w:sz w:val="21"/>
                <w:szCs w:val="21"/>
              </w:rPr>
              <w:t>9</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47.37%</w:t>
            </w:r>
          </w:p>
        </w:tc>
        <w:tc>
          <w:tcPr>
            <w:tcW w:w="763"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5.26%</w:t>
            </w:r>
          </w:p>
        </w:tc>
        <w:tc>
          <w:tcPr>
            <w:tcW w:w="879"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5.26%</w:t>
            </w:r>
          </w:p>
        </w:tc>
        <w:tc>
          <w:tcPr>
            <w:tcW w:w="810" w:type="dxa"/>
            <w:vAlign w:val="center"/>
          </w:tcPr>
          <w:p>
            <w:pPr>
              <w:widowControl/>
              <w:ind w:firstLine="0" w:firstLineChars="0"/>
              <w:jc w:val="center"/>
              <w:rPr>
                <w:rFonts w:eastAsia="MingLiU"/>
                <w:sz w:val="21"/>
                <w:szCs w:val="21"/>
              </w:rPr>
            </w:pPr>
            <w:r>
              <w:rPr>
                <w:rFonts w:eastAsia="MingLiU"/>
                <w:sz w:val="21"/>
                <w:szCs w:val="21"/>
              </w:rPr>
              <w:t>6</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31.58%</w:t>
            </w:r>
          </w:p>
        </w:tc>
        <w:tc>
          <w:tcPr>
            <w:tcW w:w="93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763" w:type="dxa"/>
            <w:vAlign w:val="center"/>
          </w:tcPr>
          <w:p>
            <w:pPr>
              <w:widowControl/>
              <w:ind w:firstLine="0" w:firstLineChars="0"/>
              <w:jc w:val="center"/>
              <w:rPr>
                <w:rFonts w:eastAsia="MingLiU"/>
                <w:sz w:val="21"/>
                <w:szCs w:val="21"/>
              </w:rPr>
            </w:pPr>
            <w:r>
              <w:rPr>
                <w:rFonts w:eastAsia="MingLiU"/>
                <w:sz w:val="21"/>
                <w:szCs w:val="21"/>
              </w:rPr>
              <w:t>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10.53%</w:t>
            </w:r>
          </w:p>
        </w:tc>
        <w:tc>
          <w:tcPr>
            <w:tcW w:w="828" w:type="dxa"/>
            <w:vAlign w:val="center"/>
          </w:tcPr>
          <w:p>
            <w:pPr>
              <w:widowControl/>
              <w:ind w:firstLine="0" w:firstLineChars="0"/>
              <w:jc w:val="center"/>
              <w:rPr>
                <w:rFonts w:eastAsia="MingLiU"/>
                <w:sz w:val="21"/>
                <w:szCs w:val="21"/>
              </w:rPr>
            </w:pPr>
            <w:r>
              <w:rPr>
                <w:rFonts w:eastAsia="MingLiU"/>
                <w:sz w:val="21"/>
                <w:szCs w:val="21"/>
              </w:rPr>
              <w:t>19</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hAnsi="MingLiU" w:eastAsia="MingLiU"/>
                <w:sz w:val="21"/>
                <w:szCs w:val="21"/>
              </w:rPr>
              <w:t>一粒眠</w:t>
            </w:r>
          </w:p>
        </w:tc>
        <w:tc>
          <w:tcPr>
            <w:tcW w:w="878" w:type="dxa"/>
            <w:vAlign w:val="center"/>
          </w:tcPr>
          <w:p>
            <w:pPr>
              <w:widowControl/>
              <w:ind w:firstLine="0" w:firstLineChars="0"/>
              <w:jc w:val="center"/>
              <w:rPr>
                <w:rFonts w:eastAsia="MingLiU"/>
                <w:sz w:val="21"/>
                <w:szCs w:val="21"/>
              </w:rPr>
            </w:pPr>
            <w:r>
              <w:rPr>
                <w:rFonts w:eastAsia="MingLiU"/>
                <w:sz w:val="21"/>
                <w:szCs w:val="21"/>
              </w:rPr>
              <w:t>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40.00%</w:t>
            </w:r>
          </w:p>
        </w:tc>
        <w:tc>
          <w:tcPr>
            <w:tcW w:w="7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79"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10"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93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63" w:type="dxa"/>
            <w:vAlign w:val="center"/>
          </w:tcPr>
          <w:p>
            <w:pPr>
              <w:widowControl/>
              <w:ind w:firstLine="0" w:firstLineChars="0"/>
              <w:jc w:val="center"/>
              <w:rPr>
                <w:rFonts w:eastAsia="MingLiU"/>
                <w:sz w:val="21"/>
                <w:szCs w:val="21"/>
              </w:rPr>
            </w:pPr>
            <w:r>
              <w:rPr>
                <w:rFonts w:eastAsia="MingLiU"/>
                <w:sz w:val="21"/>
                <w:szCs w:val="21"/>
              </w:rPr>
              <w:t>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40.00%</w:t>
            </w:r>
          </w:p>
        </w:tc>
        <w:tc>
          <w:tcPr>
            <w:tcW w:w="8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763"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20.00%</w:t>
            </w:r>
          </w:p>
        </w:tc>
        <w:tc>
          <w:tcPr>
            <w:tcW w:w="828" w:type="dxa"/>
            <w:vAlign w:val="center"/>
          </w:tcPr>
          <w:p>
            <w:pPr>
              <w:widowControl/>
              <w:ind w:firstLine="0" w:firstLineChars="0"/>
              <w:jc w:val="center"/>
              <w:rPr>
                <w:rFonts w:eastAsia="MingLiU"/>
                <w:sz w:val="21"/>
                <w:szCs w:val="21"/>
              </w:rPr>
            </w:pPr>
            <w:r>
              <w:rPr>
                <w:rFonts w:eastAsia="MingLiU"/>
                <w:sz w:val="21"/>
                <w:szCs w:val="21"/>
              </w:rPr>
              <w:t>5</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hAnsi="MingLiU" w:eastAsia="MingLiU"/>
                <w:sz w:val="21"/>
                <w:szCs w:val="21"/>
              </w:rPr>
              <w:t>古柯鹼</w:t>
            </w:r>
          </w:p>
        </w:tc>
        <w:tc>
          <w:tcPr>
            <w:tcW w:w="878"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7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79"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10"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c>
          <w:tcPr>
            <w:tcW w:w="93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7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28"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hAnsi="MingLiU" w:eastAsia="MingLiU"/>
                <w:sz w:val="21"/>
                <w:szCs w:val="21"/>
              </w:rPr>
              <w:t>麻黃</w:t>
            </w:r>
          </w:p>
        </w:tc>
        <w:tc>
          <w:tcPr>
            <w:tcW w:w="878"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50.00%</w:t>
            </w:r>
          </w:p>
        </w:tc>
        <w:tc>
          <w:tcPr>
            <w:tcW w:w="7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79"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10"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93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63" w:type="dxa"/>
            <w:vAlign w:val="center"/>
          </w:tcPr>
          <w:p>
            <w:pPr>
              <w:widowControl/>
              <w:ind w:firstLine="0" w:firstLineChars="0"/>
              <w:jc w:val="center"/>
              <w:rPr>
                <w:rFonts w:eastAsia="MingLiU"/>
                <w:sz w:val="21"/>
                <w:szCs w:val="21"/>
              </w:rPr>
            </w:pPr>
            <w:r>
              <w:rPr>
                <w:rFonts w:eastAsia="MingLiU"/>
                <w:sz w:val="21"/>
                <w:szCs w:val="21"/>
              </w:rPr>
              <w:t>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50.00%</w:t>
            </w:r>
          </w:p>
        </w:tc>
        <w:tc>
          <w:tcPr>
            <w:tcW w:w="8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763" w:type="dxa"/>
            <w:vAlign w:val="center"/>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28" w:type="dxa"/>
            <w:vAlign w:val="center"/>
          </w:tcPr>
          <w:p>
            <w:pPr>
              <w:widowControl/>
              <w:ind w:firstLine="0" w:firstLineChars="0"/>
              <w:jc w:val="center"/>
              <w:rPr>
                <w:rFonts w:eastAsia="MingLiU"/>
                <w:sz w:val="21"/>
                <w:szCs w:val="21"/>
              </w:rPr>
            </w:pPr>
            <w:r>
              <w:rPr>
                <w:rFonts w:eastAsia="MingLiU"/>
                <w:sz w:val="21"/>
                <w:szCs w:val="21"/>
              </w:rPr>
              <w:t>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hAnsi="MingLiU" w:eastAsia="MingLiU"/>
                <w:sz w:val="21"/>
                <w:szCs w:val="21"/>
              </w:rPr>
              <w:t>鹽酸羥亞胺</w:t>
            </w:r>
          </w:p>
        </w:tc>
        <w:tc>
          <w:tcPr>
            <w:tcW w:w="878" w:type="dxa"/>
            <w:vAlign w:val="center"/>
          </w:tcPr>
          <w:p>
            <w:pPr>
              <w:widowControl/>
              <w:ind w:firstLine="0" w:firstLineChars="0"/>
              <w:jc w:val="center"/>
              <w:rPr>
                <w:rFonts w:eastAsia="MingLiU"/>
                <w:sz w:val="21"/>
                <w:szCs w:val="21"/>
              </w:rPr>
            </w:pPr>
            <w:r>
              <w:rPr>
                <w:rFonts w:eastAsia="MingLiU"/>
                <w:sz w:val="21"/>
                <w:szCs w:val="21"/>
              </w:rPr>
              <w:t>4</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c>
          <w:tcPr>
            <w:tcW w:w="763" w:type="dxa"/>
            <w:vAlign w:val="top"/>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79" w:type="dxa"/>
            <w:vAlign w:val="top"/>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10" w:type="dxa"/>
            <w:vAlign w:val="top"/>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933" w:type="dxa"/>
            <w:vAlign w:val="top"/>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63" w:type="dxa"/>
            <w:vAlign w:val="top"/>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63" w:type="dxa"/>
            <w:vAlign w:val="top"/>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763" w:type="dxa"/>
            <w:vAlign w:val="top"/>
          </w:tcPr>
          <w:p>
            <w:pPr>
              <w:widowControl/>
              <w:ind w:firstLine="0" w:firstLineChars="0"/>
              <w:jc w:val="center"/>
              <w:rPr>
                <w:rFonts w:eastAsia="MingLiU"/>
                <w:sz w:val="21"/>
                <w:szCs w:val="21"/>
              </w:rPr>
            </w:pPr>
            <w:r>
              <w:rPr>
                <w:rFonts w:eastAsia="MingLiU"/>
                <w:sz w:val="21"/>
                <w:szCs w:val="21"/>
              </w:rPr>
              <w:t>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0.00%</w:t>
            </w:r>
          </w:p>
        </w:tc>
        <w:tc>
          <w:tcPr>
            <w:tcW w:w="828" w:type="dxa"/>
            <w:vAlign w:val="center"/>
          </w:tcPr>
          <w:p>
            <w:pPr>
              <w:widowControl/>
              <w:ind w:firstLine="0" w:firstLineChars="0"/>
              <w:jc w:val="center"/>
              <w:rPr>
                <w:rFonts w:eastAsia="MingLiU"/>
                <w:sz w:val="21"/>
                <w:szCs w:val="21"/>
              </w:rPr>
            </w:pPr>
            <w:r>
              <w:rPr>
                <w:rFonts w:eastAsia="MingLiU"/>
                <w:sz w:val="21"/>
                <w:szCs w:val="21"/>
              </w:rPr>
              <w:t>4</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206" w:type="dxa"/>
            <w:vAlign w:val="center"/>
          </w:tcPr>
          <w:p>
            <w:pPr>
              <w:widowControl/>
              <w:ind w:firstLine="0" w:firstLineChars="0"/>
              <w:jc w:val="center"/>
              <w:rPr>
                <w:rFonts w:eastAsia="MingLiU"/>
                <w:sz w:val="21"/>
                <w:szCs w:val="21"/>
              </w:rPr>
            </w:pPr>
            <w:r>
              <w:rPr>
                <w:rFonts w:hAnsi="MingLiU" w:eastAsia="MingLiU"/>
                <w:sz w:val="21"/>
                <w:szCs w:val="21"/>
              </w:rPr>
              <w:t>總計</w:t>
            </w:r>
          </w:p>
        </w:tc>
        <w:tc>
          <w:tcPr>
            <w:tcW w:w="878" w:type="dxa"/>
            <w:vAlign w:val="center"/>
          </w:tcPr>
          <w:p>
            <w:pPr>
              <w:widowControl/>
              <w:ind w:firstLine="0" w:firstLineChars="0"/>
              <w:jc w:val="center"/>
              <w:rPr>
                <w:rFonts w:eastAsia="MingLiU"/>
                <w:sz w:val="21"/>
                <w:szCs w:val="21"/>
              </w:rPr>
            </w:pPr>
            <w:r>
              <w:rPr>
                <w:rFonts w:eastAsia="MingLiU"/>
                <w:sz w:val="21"/>
                <w:szCs w:val="21"/>
              </w:rPr>
              <w:t>311</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64.52%</w:t>
            </w:r>
          </w:p>
        </w:tc>
        <w:tc>
          <w:tcPr>
            <w:tcW w:w="763" w:type="dxa"/>
            <w:vAlign w:val="center"/>
          </w:tcPr>
          <w:p>
            <w:pPr>
              <w:widowControl/>
              <w:ind w:firstLine="0" w:firstLineChars="0"/>
              <w:jc w:val="center"/>
              <w:rPr>
                <w:rFonts w:eastAsia="MingLiU"/>
                <w:sz w:val="21"/>
                <w:szCs w:val="21"/>
              </w:rPr>
            </w:pPr>
            <w:r>
              <w:rPr>
                <w:rFonts w:eastAsia="MingLiU"/>
                <w:sz w:val="21"/>
                <w:szCs w:val="21"/>
              </w:rPr>
              <w:t>18</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3.73%</w:t>
            </w:r>
          </w:p>
        </w:tc>
        <w:tc>
          <w:tcPr>
            <w:tcW w:w="879" w:type="dxa"/>
            <w:vAlign w:val="center"/>
          </w:tcPr>
          <w:p>
            <w:pPr>
              <w:widowControl/>
              <w:ind w:firstLine="0" w:firstLineChars="0"/>
              <w:jc w:val="center"/>
              <w:rPr>
                <w:rFonts w:eastAsia="MingLiU"/>
                <w:sz w:val="21"/>
                <w:szCs w:val="21"/>
              </w:rPr>
            </w:pPr>
            <w:r>
              <w:rPr>
                <w:rFonts w:eastAsia="MingLiU"/>
                <w:sz w:val="21"/>
                <w:szCs w:val="21"/>
              </w:rPr>
              <w:t>45</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9.34%</w:t>
            </w:r>
          </w:p>
        </w:tc>
        <w:tc>
          <w:tcPr>
            <w:tcW w:w="810" w:type="dxa"/>
            <w:vAlign w:val="center"/>
          </w:tcPr>
          <w:p>
            <w:pPr>
              <w:widowControl/>
              <w:ind w:firstLine="0" w:firstLineChars="0"/>
              <w:jc w:val="center"/>
              <w:rPr>
                <w:rFonts w:eastAsia="MingLiU"/>
                <w:sz w:val="21"/>
                <w:szCs w:val="21"/>
              </w:rPr>
            </w:pPr>
            <w:r>
              <w:rPr>
                <w:rFonts w:eastAsia="MingLiU"/>
                <w:sz w:val="21"/>
                <w:szCs w:val="21"/>
              </w:rPr>
              <w:t>24</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4.98%</w:t>
            </w:r>
          </w:p>
        </w:tc>
        <w:tc>
          <w:tcPr>
            <w:tcW w:w="933" w:type="dxa"/>
            <w:vAlign w:val="center"/>
          </w:tcPr>
          <w:p>
            <w:pPr>
              <w:widowControl/>
              <w:ind w:firstLine="0" w:firstLineChars="0"/>
              <w:jc w:val="center"/>
              <w:rPr>
                <w:rFonts w:eastAsia="MingLiU"/>
                <w:sz w:val="21"/>
                <w:szCs w:val="21"/>
              </w:rPr>
            </w:pPr>
            <w:r>
              <w:rPr>
                <w:rFonts w:eastAsia="MingLiU"/>
                <w:sz w:val="21"/>
                <w:szCs w:val="21"/>
              </w:rPr>
              <w:t>20</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4.15%</w:t>
            </w:r>
          </w:p>
        </w:tc>
        <w:tc>
          <w:tcPr>
            <w:tcW w:w="863" w:type="dxa"/>
            <w:vAlign w:val="center"/>
          </w:tcPr>
          <w:p>
            <w:pPr>
              <w:widowControl/>
              <w:ind w:firstLine="0" w:firstLineChars="0"/>
              <w:jc w:val="center"/>
              <w:rPr>
                <w:rFonts w:eastAsia="MingLiU"/>
                <w:sz w:val="21"/>
                <w:szCs w:val="21"/>
              </w:rPr>
            </w:pPr>
            <w:r>
              <w:rPr>
                <w:rFonts w:eastAsia="MingLiU"/>
                <w:sz w:val="21"/>
                <w:szCs w:val="21"/>
              </w:rPr>
              <w:t>17</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3.53%</w:t>
            </w:r>
          </w:p>
        </w:tc>
        <w:tc>
          <w:tcPr>
            <w:tcW w:w="863" w:type="dxa"/>
            <w:vAlign w:val="center"/>
          </w:tcPr>
          <w:p>
            <w:pPr>
              <w:widowControl/>
              <w:ind w:firstLine="0" w:firstLineChars="0"/>
              <w:jc w:val="center"/>
              <w:rPr>
                <w:rFonts w:eastAsia="MingLiU"/>
                <w:sz w:val="21"/>
                <w:szCs w:val="21"/>
              </w:rPr>
            </w:pPr>
            <w:r>
              <w:rPr>
                <w:rFonts w:eastAsia="MingLiU"/>
                <w:sz w:val="21"/>
                <w:szCs w:val="21"/>
              </w:rPr>
              <w:t>22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4.56%</w:t>
            </w:r>
          </w:p>
        </w:tc>
        <w:tc>
          <w:tcPr>
            <w:tcW w:w="763" w:type="dxa"/>
            <w:vAlign w:val="center"/>
          </w:tcPr>
          <w:p>
            <w:pPr>
              <w:widowControl/>
              <w:ind w:firstLine="0" w:firstLineChars="0"/>
              <w:jc w:val="center"/>
              <w:rPr>
                <w:rFonts w:eastAsia="MingLiU"/>
                <w:sz w:val="21"/>
                <w:szCs w:val="21"/>
              </w:rPr>
            </w:pPr>
            <w:r>
              <w:rPr>
                <w:rFonts w:eastAsia="MingLiU"/>
                <w:sz w:val="21"/>
                <w:szCs w:val="21"/>
              </w:rPr>
              <w:t>25</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5.19%</w:t>
            </w:r>
          </w:p>
        </w:tc>
        <w:tc>
          <w:tcPr>
            <w:tcW w:w="828" w:type="dxa"/>
            <w:vAlign w:val="center"/>
          </w:tcPr>
          <w:p>
            <w:pPr>
              <w:widowControl/>
              <w:ind w:firstLine="0" w:firstLineChars="0"/>
              <w:jc w:val="center"/>
              <w:rPr>
                <w:rFonts w:eastAsia="MingLiU"/>
                <w:sz w:val="21"/>
                <w:szCs w:val="21"/>
              </w:rPr>
            </w:pPr>
            <w:r>
              <w:rPr>
                <w:rFonts w:eastAsia="MingLiU"/>
                <w:sz w:val="21"/>
                <w:szCs w:val="21"/>
              </w:rPr>
              <w:t>482</w:t>
            </w:r>
            <w:r>
              <w:rPr>
                <w:rFonts w:hAnsi="MingLiU" w:eastAsia="MingLiU"/>
                <w:sz w:val="21"/>
                <w:szCs w:val="21"/>
              </w:rPr>
              <w:t>件</w:t>
            </w:r>
          </w:p>
          <w:p>
            <w:pPr>
              <w:widowControl/>
              <w:ind w:firstLine="0" w:firstLineChars="0"/>
              <w:jc w:val="center"/>
              <w:rPr>
                <w:rFonts w:eastAsia="MingLiU"/>
                <w:sz w:val="21"/>
                <w:szCs w:val="21"/>
              </w:rPr>
            </w:pPr>
            <w:r>
              <w:rPr>
                <w:rFonts w:eastAsia="MingLiU"/>
                <w:sz w:val="21"/>
                <w:szCs w:val="21"/>
              </w:rPr>
              <w:t>100.00%</w:t>
            </w:r>
          </w:p>
        </w:tc>
      </w:tr>
    </w:tbl>
    <w:p>
      <w:pPr>
        <w:pStyle w:val="5"/>
        <w:ind w:firstLine="480"/>
      </w:pPr>
      <w:r>
        <w:t>四、跨境毒品販運的運輸手法</w:t>
      </w:r>
    </w:p>
    <w:p>
      <w:pPr>
        <w:ind w:firstLine="480"/>
        <w:rPr>
          <w:rFonts w:hint="eastAsia" w:ascii="宋体" w:hAnsi="宋体" w:eastAsia="宋体" w:cs="宋体"/>
        </w:rPr>
      </w:pPr>
      <w:r>
        <w:rPr>
          <w:rFonts w:hint="eastAsia" w:ascii="宋体" w:hAnsi="宋体" w:eastAsia="宋体" w:cs="宋体"/>
        </w:rPr>
        <w:t>判決書分析發現，運輸手法以包裹快遞186件（38.04%）、隨身攜帶105件（21.47%）、肛門夾帶63件（12.88%）及裝箱托運46件（9.41%）為最常見。其他運輸手法包括行李托運43件（8.79%）、漁船船運34件（6.95%）及吞服入肚12件（2.45%）等。相關資料如表3。</w:t>
      </w:r>
    </w:p>
    <w:p>
      <w:pPr>
        <w:spacing w:line="240" w:lineRule="auto"/>
        <w:ind w:firstLine="440"/>
        <w:jc w:val="center"/>
        <w:rPr>
          <w:rFonts w:eastAsia="MingLiU"/>
          <w:b/>
          <w:sz w:val="22"/>
          <w:szCs w:val="22"/>
        </w:rPr>
      </w:pPr>
    </w:p>
    <w:p>
      <w:pPr>
        <w:ind w:firstLine="480"/>
        <w:jc w:val="center"/>
      </w:pPr>
      <w:r>
        <w:rPr>
          <w:rFonts w:hint="eastAsia" w:ascii="宋体" w:hAnsi="宋体" w:eastAsia="宋体" w:cs="宋体"/>
          <w:sz w:val="21"/>
          <w:szCs w:val="21"/>
        </w:rPr>
        <w:t>表3  跨境毒品販運的運輸手法分析</w:t>
      </w:r>
    </w:p>
    <w:tbl>
      <w:tblPr>
        <w:tblStyle w:val="46"/>
        <w:tblW w:w="864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60"/>
        <w:gridCol w:w="916"/>
        <w:gridCol w:w="916"/>
        <w:gridCol w:w="903"/>
        <w:gridCol w:w="903"/>
        <w:gridCol w:w="903"/>
        <w:gridCol w:w="903"/>
        <w:gridCol w:w="84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1" w:hRule="atLeast"/>
        </w:trPr>
        <w:tc>
          <w:tcPr>
            <w:tcW w:w="1260" w:type="dxa"/>
            <w:tcBorders>
              <w:tl2br w:val="single" w:color="auto" w:sz="4" w:space="0"/>
            </w:tcBorders>
            <w:shd w:val="clear" w:color="auto" w:fill="E6E6E6"/>
            <w:vAlign w:val="center"/>
          </w:tcPr>
          <w:p>
            <w:pPr>
              <w:widowControl/>
              <w:ind w:firstLine="0" w:firstLineChars="0"/>
              <w:jc w:val="right"/>
              <w:rPr>
                <w:rFonts w:ascii="宋体" w:hAnsi="宋体" w:eastAsia="宋体"/>
                <w:sz w:val="18"/>
                <w:szCs w:val="18"/>
              </w:rPr>
            </w:pPr>
            <w:r>
              <w:rPr>
                <w:rFonts w:ascii="宋体" w:hAnsi="宋体" w:eastAsia="宋体"/>
                <w:sz w:val="18"/>
                <w:szCs w:val="18"/>
              </w:rPr>
              <w:t>運輸手法</w:t>
            </w:r>
          </w:p>
          <w:p>
            <w:pPr>
              <w:widowControl/>
              <w:ind w:firstLine="0" w:firstLineChars="0"/>
              <w:rPr>
                <w:rFonts w:ascii="宋体" w:hAnsi="宋体" w:eastAsia="宋体"/>
                <w:sz w:val="21"/>
                <w:szCs w:val="21"/>
              </w:rPr>
            </w:pPr>
            <w:r>
              <w:rPr>
                <w:rFonts w:ascii="宋体" w:hAnsi="宋体" w:eastAsia="宋体"/>
                <w:sz w:val="18"/>
                <w:szCs w:val="18"/>
              </w:rPr>
              <w:t>毒品種類</w:t>
            </w:r>
          </w:p>
        </w:tc>
        <w:tc>
          <w:tcPr>
            <w:tcW w:w="916"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包裹</w:t>
            </w:r>
          </w:p>
          <w:p>
            <w:pPr>
              <w:widowControl/>
              <w:ind w:firstLine="0" w:firstLineChars="0"/>
              <w:jc w:val="center"/>
              <w:rPr>
                <w:rFonts w:ascii="宋体" w:hAnsi="宋体" w:eastAsia="宋体"/>
                <w:sz w:val="21"/>
                <w:szCs w:val="21"/>
              </w:rPr>
            </w:pPr>
            <w:r>
              <w:rPr>
                <w:rFonts w:ascii="宋体" w:hAnsi="宋体" w:eastAsia="宋体"/>
                <w:sz w:val="21"/>
                <w:szCs w:val="21"/>
              </w:rPr>
              <w:t>快遞</w:t>
            </w:r>
          </w:p>
        </w:tc>
        <w:tc>
          <w:tcPr>
            <w:tcW w:w="916"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隨身</w:t>
            </w:r>
          </w:p>
          <w:p>
            <w:pPr>
              <w:widowControl/>
              <w:ind w:firstLine="0" w:firstLineChars="0"/>
              <w:jc w:val="center"/>
              <w:rPr>
                <w:rFonts w:ascii="宋体" w:hAnsi="宋体" w:eastAsia="宋体"/>
                <w:sz w:val="21"/>
                <w:szCs w:val="21"/>
              </w:rPr>
            </w:pPr>
            <w:r>
              <w:rPr>
                <w:rFonts w:ascii="宋体" w:hAnsi="宋体" w:eastAsia="宋体"/>
                <w:sz w:val="21"/>
                <w:szCs w:val="21"/>
              </w:rPr>
              <w:t>攜帶</w:t>
            </w:r>
          </w:p>
        </w:tc>
        <w:tc>
          <w:tcPr>
            <w:tcW w:w="903"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肛門</w:t>
            </w:r>
          </w:p>
          <w:p>
            <w:pPr>
              <w:widowControl/>
              <w:ind w:firstLine="0" w:firstLineChars="0"/>
              <w:jc w:val="center"/>
              <w:rPr>
                <w:rFonts w:ascii="宋体" w:hAnsi="宋体" w:eastAsia="宋体"/>
                <w:sz w:val="21"/>
                <w:szCs w:val="21"/>
              </w:rPr>
            </w:pPr>
            <w:r>
              <w:rPr>
                <w:rFonts w:ascii="宋体" w:hAnsi="宋体" w:eastAsia="宋体"/>
                <w:sz w:val="21"/>
                <w:szCs w:val="21"/>
              </w:rPr>
              <w:t>夾帶</w:t>
            </w:r>
          </w:p>
        </w:tc>
        <w:tc>
          <w:tcPr>
            <w:tcW w:w="903"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漁船</w:t>
            </w:r>
          </w:p>
          <w:p>
            <w:pPr>
              <w:widowControl/>
              <w:ind w:firstLine="0" w:firstLineChars="0"/>
              <w:jc w:val="center"/>
              <w:rPr>
                <w:rFonts w:ascii="宋体" w:hAnsi="宋体" w:eastAsia="宋体"/>
                <w:sz w:val="21"/>
                <w:szCs w:val="21"/>
              </w:rPr>
            </w:pPr>
            <w:r>
              <w:rPr>
                <w:rFonts w:ascii="宋体" w:hAnsi="宋体" w:eastAsia="宋体"/>
                <w:sz w:val="21"/>
                <w:szCs w:val="21"/>
              </w:rPr>
              <w:t>船運</w:t>
            </w:r>
          </w:p>
        </w:tc>
        <w:tc>
          <w:tcPr>
            <w:tcW w:w="903"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行李</w:t>
            </w:r>
          </w:p>
          <w:p>
            <w:pPr>
              <w:widowControl/>
              <w:ind w:firstLine="0" w:firstLineChars="0"/>
              <w:jc w:val="center"/>
              <w:rPr>
                <w:rFonts w:ascii="宋体" w:hAnsi="宋体" w:eastAsia="宋体"/>
                <w:sz w:val="21"/>
                <w:szCs w:val="21"/>
              </w:rPr>
            </w:pPr>
            <w:r>
              <w:rPr>
                <w:rFonts w:ascii="宋体" w:hAnsi="宋体" w:eastAsia="宋体"/>
                <w:sz w:val="21"/>
                <w:szCs w:val="21"/>
              </w:rPr>
              <w:t>托運</w:t>
            </w:r>
          </w:p>
        </w:tc>
        <w:tc>
          <w:tcPr>
            <w:tcW w:w="903"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裝箱</w:t>
            </w:r>
          </w:p>
          <w:p>
            <w:pPr>
              <w:widowControl/>
              <w:ind w:firstLine="0" w:firstLineChars="0"/>
              <w:jc w:val="center"/>
              <w:rPr>
                <w:rFonts w:ascii="宋体" w:hAnsi="宋体" w:eastAsia="宋体"/>
                <w:sz w:val="21"/>
                <w:szCs w:val="21"/>
              </w:rPr>
            </w:pPr>
            <w:r>
              <w:rPr>
                <w:rFonts w:ascii="宋体" w:hAnsi="宋体" w:eastAsia="宋体"/>
                <w:sz w:val="21"/>
                <w:szCs w:val="21"/>
              </w:rPr>
              <w:t>托運</w:t>
            </w:r>
          </w:p>
        </w:tc>
        <w:tc>
          <w:tcPr>
            <w:tcW w:w="845"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吞服</w:t>
            </w:r>
          </w:p>
          <w:p>
            <w:pPr>
              <w:widowControl/>
              <w:ind w:firstLine="0" w:firstLineChars="0"/>
              <w:jc w:val="center"/>
              <w:rPr>
                <w:rFonts w:ascii="宋体" w:hAnsi="宋体" w:eastAsia="宋体"/>
                <w:sz w:val="21"/>
                <w:szCs w:val="21"/>
              </w:rPr>
            </w:pPr>
            <w:r>
              <w:rPr>
                <w:rFonts w:ascii="宋体" w:hAnsi="宋体" w:eastAsia="宋体"/>
                <w:sz w:val="21"/>
                <w:szCs w:val="21"/>
              </w:rPr>
              <w:t>入肚</w:t>
            </w:r>
          </w:p>
        </w:tc>
        <w:tc>
          <w:tcPr>
            <w:tcW w:w="1091" w:type="dxa"/>
            <w:shd w:val="clear" w:color="auto" w:fill="E6E6E6"/>
            <w:vAlign w:val="center"/>
          </w:tcPr>
          <w:p>
            <w:pPr>
              <w:widowControl/>
              <w:ind w:firstLine="0" w:firstLineChars="0"/>
              <w:jc w:val="center"/>
              <w:rPr>
                <w:rFonts w:ascii="宋体" w:hAnsi="宋体" w:eastAsia="宋体"/>
                <w:sz w:val="21"/>
                <w:szCs w:val="21"/>
              </w:rPr>
            </w:pPr>
            <w:r>
              <w:rPr>
                <w:rFonts w:ascii="宋体" w:hAnsi="宋体" w:eastAsia="宋体"/>
                <w:sz w:val="21"/>
                <w:szCs w:val="21"/>
              </w:rPr>
              <w:t>總計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愷他命</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106件</w:t>
            </w:r>
          </w:p>
          <w:p>
            <w:pPr>
              <w:widowControl/>
              <w:ind w:firstLine="0" w:firstLineChars="0"/>
              <w:jc w:val="center"/>
              <w:rPr>
                <w:rFonts w:ascii="宋体" w:hAnsi="宋体" w:eastAsia="宋体"/>
                <w:sz w:val="21"/>
                <w:szCs w:val="21"/>
              </w:rPr>
            </w:pPr>
            <w:r>
              <w:rPr>
                <w:rFonts w:ascii="宋体" w:hAnsi="宋体" w:eastAsia="宋体"/>
                <w:spacing w:val="-4"/>
                <w:sz w:val="21"/>
                <w:szCs w:val="21"/>
              </w:rPr>
              <w:t>53.00%</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49件</w:t>
            </w:r>
          </w:p>
          <w:p>
            <w:pPr>
              <w:widowControl/>
              <w:ind w:firstLine="0" w:firstLineChars="0"/>
              <w:jc w:val="center"/>
              <w:rPr>
                <w:rFonts w:ascii="宋体" w:hAnsi="宋体" w:eastAsia="宋体"/>
                <w:sz w:val="21"/>
                <w:szCs w:val="21"/>
              </w:rPr>
            </w:pPr>
            <w:r>
              <w:rPr>
                <w:rFonts w:ascii="宋体" w:hAnsi="宋体" w:eastAsia="宋体"/>
                <w:spacing w:val="-4"/>
                <w:sz w:val="21"/>
                <w:szCs w:val="21"/>
              </w:rPr>
              <w:t>24.50%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15件</w:t>
            </w:r>
          </w:p>
          <w:p>
            <w:pPr>
              <w:widowControl/>
              <w:ind w:firstLine="0" w:firstLineChars="0"/>
              <w:jc w:val="center"/>
              <w:rPr>
                <w:rFonts w:ascii="宋体" w:hAnsi="宋体" w:eastAsia="宋体"/>
                <w:sz w:val="21"/>
                <w:szCs w:val="21"/>
              </w:rPr>
            </w:pPr>
            <w:r>
              <w:rPr>
                <w:rFonts w:ascii="宋体" w:hAnsi="宋体" w:eastAsia="宋体"/>
                <w:spacing w:val="-4"/>
                <w:sz w:val="21"/>
                <w:szCs w:val="21"/>
              </w:rPr>
              <w:t>7.50%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3件</w:t>
            </w:r>
          </w:p>
          <w:p>
            <w:pPr>
              <w:widowControl/>
              <w:ind w:firstLine="0" w:firstLineChars="0"/>
              <w:jc w:val="center"/>
              <w:rPr>
                <w:rFonts w:ascii="宋体" w:hAnsi="宋体" w:eastAsia="宋体"/>
                <w:sz w:val="21"/>
                <w:szCs w:val="21"/>
              </w:rPr>
            </w:pPr>
            <w:r>
              <w:rPr>
                <w:rFonts w:ascii="宋体" w:hAnsi="宋体" w:eastAsia="宋体"/>
                <w:spacing w:val="-4"/>
                <w:sz w:val="21"/>
                <w:szCs w:val="21"/>
              </w:rPr>
              <w:t>1.50%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27件</w:t>
            </w:r>
          </w:p>
          <w:p>
            <w:pPr>
              <w:widowControl/>
              <w:ind w:firstLine="0" w:firstLineChars="0"/>
              <w:jc w:val="center"/>
              <w:rPr>
                <w:rFonts w:ascii="宋体" w:hAnsi="宋体" w:eastAsia="宋体"/>
                <w:sz w:val="21"/>
                <w:szCs w:val="21"/>
              </w:rPr>
            </w:pPr>
            <w:r>
              <w:rPr>
                <w:rFonts w:ascii="宋体" w:hAnsi="宋体" w:eastAsia="宋体"/>
                <w:spacing w:val="-4"/>
                <w:sz w:val="21"/>
                <w:szCs w:val="21"/>
              </w:rPr>
              <w:t>13.50%</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200件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海洛因</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33件</w:t>
            </w:r>
          </w:p>
          <w:p>
            <w:pPr>
              <w:widowControl/>
              <w:ind w:firstLine="0" w:firstLineChars="0"/>
              <w:jc w:val="center"/>
              <w:rPr>
                <w:rFonts w:ascii="宋体" w:hAnsi="宋体" w:eastAsia="宋体"/>
                <w:sz w:val="21"/>
                <w:szCs w:val="21"/>
              </w:rPr>
            </w:pPr>
            <w:r>
              <w:rPr>
                <w:rFonts w:ascii="宋体" w:hAnsi="宋体" w:eastAsia="宋体"/>
                <w:spacing w:val="-4"/>
                <w:sz w:val="21"/>
                <w:szCs w:val="21"/>
              </w:rPr>
              <w:t>18.13%</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36件</w:t>
            </w:r>
          </w:p>
          <w:p>
            <w:pPr>
              <w:widowControl/>
              <w:ind w:firstLine="0" w:firstLineChars="0"/>
              <w:jc w:val="center"/>
              <w:rPr>
                <w:rFonts w:ascii="宋体" w:hAnsi="宋体" w:eastAsia="宋体"/>
                <w:sz w:val="21"/>
                <w:szCs w:val="21"/>
              </w:rPr>
            </w:pPr>
            <w:r>
              <w:rPr>
                <w:rFonts w:ascii="宋体" w:hAnsi="宋体" w:eastAsia="宋体"/>
                <w:spacing w:val="-4"/>
                <w:sz w:val="21"/>
                <w:szCs w:val="21"/>
              </w:rPr>
              <w:t>19.78%</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58件</w:t>
            </w:r>
          </w:p>
          <w:p>
            <w:pPr>
              <w:widowControl/>
              <w:ind w:firstLine="0" w:firstLineChars="0"/>
              <w:jc w:val="center"/>
              <w:rPr>
                <w:rFonts w:ascii="宋体" w:hAnsi="宋体" w:eastAsia="宋体"/>
                <w:sz w:val="21"/>
                <w:szCs w:val="21"/>
              </w:rPr>
            </w:pPr>
            <w:r>
              <w:rPr>
                <w:rFonts w:ascii="宋体" w:hAnsi="宋体" w:eastAsia="宋体"/>
                <w:spacing w:val="-4"/>
                <w:sz w:val="21"/>
                <w:szCs w:val="21"/>
              </w:rPr>
              <w:t>31.87%</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7件</w:t>
            </w:r>
          </w:p>
          <w:p>
            <w:pPr>
              <w:widowControl/>
              <w:ind w:firstLine="0" w:firstLineChars="0"/>
              <w:jc w:val="center"/>
              <w:rPr>
                <w:rFonts w:ascii="宋体" w:hAnsi="宋体" w:eastAsia="宋体"/>
                <w:sz w:val="21"/>
                <w:szCs w:val="21"/>
              </w:rPr>
            </w:pPr>
            <w:r>
              <w:rPr>
                <w:rFonts w:ascii="宋体" w:hAnsi="宋体" w:eastAsia="宋体"/>
                <w:spacing w:val="-4"/>
                <w:sz w:val="21"/>
                <w:szCs w:val="21"/>
              </w:rPr>
              <w:t>3.85%</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29件</w:t>
            </w:r>
          </w:p>
          <w:p>
            <w:pPr>
              <w:widowControl/>
              <w:ind w:firstLine="0" w:firstLineChars="0"/>
              <w:jc w:val="center"/>
              <w:rPr>
                <w:rFonts w:ascii="宋体" w:hAnsi="宋体" w:eastAsia="宋体"/>
                <w:sz w:val="21"/>
                <w:szCs w:val="21"/>
              </w:rPr>
            </w:pPr>
            <w:r>
              <w:rPr>
                <w:rFonts w:ascii="宋体" w:hAnsi="宋体" w:eastAsia="宋体"/>
                <w:spacing w:val="-4"/>
                <w:sz w:val="21"/>
                <w:szCs w:val="21"/>
              </w:rPr>
              <w:t>15.93%</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7件</w:t>
            </w:r>
          </w:p>
          <w:p>
            <w:pPr>
              <w:widowControl/>
              <w:ind w:firstLine="0" w:firstLineChars="0"/>
              <w:jc w:val="center"/>
              <w:rPr>
                <w:rFonts w:ascii="宋体" w:hAnsi="宋体" w:eastAsia="宋体"/>
                <w:sz w:val="21"/>
                <w:szCs w:val="21"/>
              </w:rPr>
            </w:pPr>
            <w:r>
              <w:rPr>
                <w:rFonts w:ascii="宋体" w:hAnsi="宋体" w:eastAsia="宋体"/>
                <w:spacing w:val="-4"/>
                <w:sz w:val="21"/>
                <w:szCs w:val="21"/>
              </w:rPr>
              <w:t>3.85%</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12件</w:t>
            </w:r>
          </w:p>
          <w:p>
            <w:pPr>
              <w:widowControl/>
              <w:ind w:firstLine="0" w:firstLineChars="0"/>
              <w:jc w:val="center"/>
              <w:rPr>
                <w:rFonts w:ascii="宋体" w:hAnsi="宋体" w:eastAsia="宋体"/>
                <w:sz w:val="21"/>
                <w:szCs w:val="21"/>
              </w:rPr>
            </w:pPr>
            <w:r>
              <w:rPr>
                <w:rFonts w:ascii="宋体" w:hAnsi="宋体" w:eastAsia="宋体"/>
                <w:spacing w:val="-4"/>
                <w:sz w:val="21"/>
                <w:szCs w:val="21"/>
              </w:rPr>
              <w:t>6.59%</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182件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安非他命類</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11件</w:t>
            </w:r>
          </w:p>
          <w:p>
            <w:pPr>
              <w:widowControl/>
              <w:ind w:firstLine="0" w:firstLineChars="0"/>
              <w:jc w:val="center"/>
              <w:rPr>
                <w:rFonts w:ascii="宋体" w:hAnsi="宋体" w:eastAsia="宋体"/>
                <w:sz w:val="21"/>
                <w:szCs w:val="21"/>
              </w:rPr>
            </w:pPr>
            <w:r>
              <w:rPr>
                <w:rFonts w:ascii="宋体" w:hAnsi="宋体" w:eastAsia="宋体"/>
                <w:spacing w:val="-4"/>
                <w:sz w:val="21"/>
                <w:szCs w:val="21"/>
              </w:rPr>
              <w:t>25.58%</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15件</w:t>
            </w:r>
          </w:p>
          <w:p>
            <w:pPr>
              <w:widowControl/>
              <w:ind w:firstLine="0" w:firstLineChars="0"/>
              <w:jc w:val="center"/>
              <w:rPr>
                <w:rFonts w:ascii="宋体" w:hAnsi="宋体" w:eastAsia="宋体"/>
                <w:sz w:val="21"/>
                <w:szCs w:val="21"/>
              </w:rPr>
            </w:pPr>
            <w:r>
              <w:rPr>
                <w:rFonts w:ascii="宋体" w:hAnsi="宋体" w:eastAsia="宋体"/>
                <w:spacing w:val="-4"/>
                <w:sz w:val="21"/>
                <w:szCs w:val="21"/>
              </w:rPr>
              <w:t>34.88%</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5件</w:t>
            </w:r>
          </w:p>
          <w:p>
            <w:pPr>
              <w:widowControl/>
              <w:ind w:firstLine="0" w:firstLineChars="0"/>
              <w:jc w:val="center"/>
              <w:rPr>
                <w:rFonts w:ascii="宋体" w:hAnsi="宋体" w:eastAsia="宋体"/>
                <w:sz w:val="21"/>
                <w:szCs w:val="21"/>
              </w:rPr>
            </w:pPr>
            <w:r>
              <w:rPr>
                <w:rFonts w:ascii="宋体" w:hAnsi="宋体" w:eastAsia="宋体"/>
                <w:spacing w:val="-4"/>
                <w:sz w:val="21"/>
                <w:szCs w:val="21"/>
              </w:rPr>
              <w:t>11.63%</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5件</w:t>
            </w:r>
          </w:p>
          <w:p>
            <w:pPr>
              <w:widowControl/>
              <w:ind w:firstLine="0" w:firstLineChars="0"/>
              <w:jc w:val="center"/>
              <w:rPr>
                <w:rFonts w:ascii="宋体" w:hAnsi="宋体" w:eastAsia="宋体"/>
                <w:sz w:val="21"/>
                <w:szCs w:val="21"/>
              </w:rPr>
            </w:pPr>
            <w:r>
              <w:rPr>
                <w:rFonts w:ascii="宋体" w:hAnsi="宋体" w:eastAsia="宋体"/>
                <w:spacing w:val="-4"/>
                <w:sz w:val="21"/>
                <w:szCs w:val="21"/>
              </w:rPr>
              <w:t>11.63%</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pacing w:val="-4"/>
                <w:sz w:val="21"/>
                <w:szCs w:val="21"/>
              </w:rPr>
              <w:t>4.65%</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4件</w:t>
            </w:r>
          </w:p>
          <w:p>
            <w:pPr>
              <w:widowControl/>
              <w:ind w:firstLine="0" w:firstLineChars="0"/>
              <w:jc w:val="center"/>
              <w:rPr>
                <w:rFonts w:ascii="宋体" w:hAnsi="宋体" w:eastAsia="宋体"/>
                <w:sz w:val="21"/>
                <w:szCs w:val="21"/>
              </w:rPr>
            </w:pPr>
            <w:r>
              <w:rPr>
                <w:rFonts w:ascii="宋体" w:hAnsi="宋体" w:eastAsia="宋体"/>
                <w:spacing w:val="-4"/>
                <w:sz w:val="21"/>
                <w:szCs w:val="21"/>
              </w:rPr>
              <w:t>9.30%</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MDMA</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9件</w:t>
            </w:r>
          </w:p>
          <w:p>
            <w:pPr>
              <w:widowControl/>
              <w:ind w:firstLine="0" w:firstLineChars="0"/>
              <w:jc w:val="center"/>
              <w:rPr>
                <w:rFonts w:ascii="宋体" w:hAnsi="宋体" w:eastAsia="宋体"/>
                <w:sz w:val="21"/>
                <w:szCs w:val="21"/>
              </w:rPr>
            </w:pPr>
            <w:r>
              <w:rPr>
                <w:rFonts w:ascii="宋体" w:hAnsi="宋体" w:eastAsia="宋体"/>
                <w:spacing w:val="-4"/>
                <w:sz w:val="21"/>
                <w:szCs w:val="21"/>
              </w:rPr>
              <w:t>75.00%</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pacing w:val="-4"/>
                <w:sz w:val="21"/>
                <w:szCs w:val="21"/>
              </w:rPr>
              <w:t>8.33%</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pacing w:val="-4"/>
                <w:sz w:val="21"/>
                <w:szCs w:val="21"/>
              </w:rPr>
              <w:t>8.33%</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pacing w:val="-4"/>
                <w:sz w:val="21"/>
                <w:szCs w:val="21"/>
              </w:rPr>
              <w:t>8.33%</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混合販運</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7件</w:t>
            </w:r>
          </w:p>
          <w:p>
            <w:pPr>
              <w:widowControl/>
              <w:ind w:firstLine="0" w:firstLineChars="0"/>
              <w:jc w:val="center"/>
              <w:rPr>
                <w:rFonts w:ascii="宋体" w:hAnsi="宋体" w:eastAsia="宋体"/>
                <w:sz w:val="21"/>
                <w:szCs w:val="21"/>
              </w:rPr>
            </w:pPr>
            <w:r>
              <w:rPr>
                <w:rFonts w:ascii="宋体" w:hAnsi="宋体" w:eastAsia="宋体"/>
                <w:spacing w:val="-4"/>
                <w:sz w:val="21"/>
                <w:szCs w:val="21"/>
              </w:rPr>
              <w:t>31.82%</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3件</w:t>
            </w:r>
          </w:p>
          <w:p>
            <w:pPr>
              <w:widowControl/>
              <w:ind w:firstLine="0" w:firstLineChars="0"/>
              <w:jc w:val="center"/>
              <w:rPr>
                <w:rFonts w:ascii="宋体" w:hAnsi="宋体" w:eastAsia="宋体"/>
                <w:sz w:val="21"/>
                <w:szCs w:val="21"/>
              </w:rPr>
            </w:pPr>
            <w:r>
              <w:rPr>
                <w:rFonts w:ascii="宋体" w:hAnsi="宋体" w:eastAsia="宋体"/>
                <w:spacing w:val="-4"/>
                <w:sz w:val="21"/>
                <w:szCs w:val="21"/>
              </w:rPr>
              <w:t>13.64%</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5件</w:t>
            </w:r>
          </w:p>
          <w:p>
            <w:pPr>
              <w:widowControl/>
              <w:ind w:firstLine="0" w:firstLineChars="0"/>
              <w:jc w:val="center"/>
              <w:rPr>
                <w:rFonts w:ascii="宋体" w:hAnsi="宋体" w:eastAsia="宋体"/>
                <w:sz w:val="21"/>
                <w:szCs w:val="21"/>
              </w:rPr>
            </w:pPr>
            <w:r>
              <w:rPr>
                <w:rFonts w:ascii="宋体" w:hAnsi="宋体" w:eastAsia="宋体"/>
                <w:spacing w:val="-4"/>
                <w:sz w:val="21"/>
                <w:szCs w:val="21"/>
              </w:rPr>
              <w:t>22.73%</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4件</w:t>
            </w:r>
          </w:p>
          <w:p>
            <w:pPr>
              <w:widowControl/>
              <w:ind w:firstLine="0" w:firstLineChars="0"/>
              <w:jc w:val="center"/>
              <w:rPr>
                <w:rFonts w:ascii="宋体" w:hAnsi="宋体" w:eastAsia="宋体"/>
                <w:sz w:val="21"/>
                <w:szCs w:val="21"/>
              </w:rPr>
            </w:pPr>
            <w:r>
              <w:rPr>
                <w:rFonts w:ascii="宋体" w:hAnsi="宋体" w:eastAsia="宋体"/>
                <w:spacing w:val="-4"/>
                <w:sz w:val="21"/>
                <w:szCs w:val="21"/>
              </w:rPr>
              <w:t>18.18%</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3件</w:t>
            </w:r>
          </w:p>
          <w:p>
            <w:pPr>
              <w:widowControl/>
              <w:ind w:firstLine="0" w:firstLineChars="0"/>
              <w:jc w:val="center"/>
              <w:rPr>
                <w:rFonts w:ascii="宋体" w:hAnsi="宋体" w:eastAsia="宋体"/>
                <w:sz w:val="21"/>
                <w:szCs w:val="21"/>
              </w:rPr>
            </w:pPr>
            <w:r>
              <w:rPr>
                <w:rFonts w:ascii="宋体" w:hAnsi="宋体" w:eastAsia="宋体"/>
                <w:spacing w:val="-4"/>
                <w:sz w:val="21"/>
                <w:szCs w:val="21"/>
              </w:rPr>
              <w:t>13.64%</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大麻類</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14件</w:t>
            </w:r>
          </w:p>
          <w:p>
            <w:pPr>
              <w:widowControl/>
              <w:ind w:firstLine="0" w:firstLineChars="0"/>
              <w:jc w:val="center"/>
              <w:rPr>
                <w:rFonts w:ascii="宋体" w:hAnsi="宋体" w:eastAsia="宋体"/>
                <w:sz w:val="21"/>
                <w:szCs w:val="21"/>
              </w:rPr>
            </w:pPr>
            <w:r>
              <w:rPr>
                <w:rFonts w:ascii="宋体" w:hAnsi="宋体" w:eastAsia="宋体"/>
                <w:spacing w:val="-4"/>
                <w:sz w:val="21"/>
                <w:szCs w:val="21"/>
              </w:rPr>
              <w:t>63.64%</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pacing w:val="-4"/>
                <w:sz w:val="21"/>
                <w:szCs w:val="21"/>
              </w:rPr>
              <w:t>4.55%</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4件</w:t>
            </w:r>
          </w:p>
          <w:p>
            <w:pPr>
              <w:widowControl/>
              <w:ind w:firstLine="0" w:firstLineChars="0"/>
              <w:jc w:val="center"/>
              <w:rPr>
                <w:rFonts w:ascii="宋体" w:hAnsi="宋体" w:eastAsia="宋体"/>
                <w:sz w:val="21"/>
                <w:szCs w:val="21"/>
              </w:rPr>
            </w:pPr>
            <w:r>
              <w:rPr>
                <w:rFonts w:ascii="宋体" w:hAnsi="宋体" w:eastAsia="宋体"/>
                <w:spacing w:val="-4"/>
                <w:sz w:val="21"/>
                <w:szCs w:val="21"/>
              </w:rPr>
              <w:t>18.18%</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3件</w:t>
            </w:r>
          </w:p>
          <w:p>
            <w:pPr>
              <w:widowControl/>
              <w:ind w:firstLine="0" w:firstLineChars="0"/>
              <w:jc w:val="center"/>
              <w:rPr>
                <w:rFonts w:ascii="宋体" w:hAnsi="宋体" w:eastAsia="宋体"/>
                <w:sz w:val="21"/>
                <w:szCs w:val="21"/>
              </w:rPr>
            </w:pPr>
            <w:r>
              <w:rPr>
                <w:rFonts w:ascii="宋体" w:hAnsi="宋体" w:eastAsia="宋体"/>
                <w:spacing w:val="-4"/>
                <w:sz w:val="21"/>
                <w:szCs w:val="21"/>
              </w:rPr>
              <w:t>13.64%</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一粒眠</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pacing w:val="-4"/>
                <w:sz w:val="21"/>
                <w:szCs w:val="21"/>
              </w:rPr>
              <w:t>100.00%</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古柯鹼</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麻黃</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50.00%</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pacing w:val="-4"/>
                <w:sz w:val="21"/>
                <w:szCs w:val="21"/>
              </w:rPr>
              <w:t>50.00%</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鹽酸羥亞胺</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2件</w:t>
            </w:r>
          </w:p>
          <w:p>
            <w:pPr>
              <w:widowControl/>
              <w:ind w:firstLine="0" w:firstLineChars="0"/>
              <w:jc w:val="center"/>
              <w:rPr>
                <w:rFonts w:ascii="宋体" w:hAnsi="宋体" w:eastAsia="宋体"/>
                <w:sz w:val="21"/>
                <w:szCs w:val="21"/>
              </w:rPr>
            </w:pPr>
            <w:r>
              <w:rPr>
                <w:rFonts w:ascii="宋体" w:hAnsi="宋体" w:eastAsia="宋体"/>
                <w:spacing w:val="-4"/>
                <w:sz w:val="21"/>
                <w:szCs w:val="21"/>
              </w:rPr>
              <w:t>50.00%</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25.00%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1件</w:t>
            </w:r>
          </w:p>
          <w:p>
            <w:pPr>
              <w:widowControl/>
              <w:ind w:firstLine="0" w:firstLineChars="0"/>
              <w:jc w:val="center"/>
              <w:rPr>
                <w:rFonts w:ascii="宋体" w:hAnsi="宋体" w:eastAsia="宋体"/>
                <w:sz w:val="21"/>
                <w:szCs w:val="21"/>
              </w:rPr>
            </w:pPr>
            <w:r>
              <w:rPr>
                <w:rFonts w:ascii="宋体" w:hAnsi="宋体" w:eastAsia="宋体"/>
                <w:sz w:val="21"/>
                <w:szCs w:val="21"/>
              </w:rPr>
              <w:t>25.00%</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0件</w:t>
            </w:r>
          </w:p>
          <w:p>
            <w:pPr>
              <w:widowControl/>
              <w:ind w:firstLine="0" w:firstLineChars="0"/>
              <w:jc w:val="center"/>
              <w:rPr>
                <w:rFonts w:ascii="宋体" w:hAnsi="宋体" w:eastAsia="宋体"/>
                <w:sz w:val="21"/>
                <w:szCs w:val="21"/>
              </w:rPr>
            </w:pPr>
            <w:r>
              <w:rPr>
                <w:rFonts w:ascii="宋体" w:hAnsi="宋体" w:eastAsia="宋体"/>
                <w:spacing w:val="-4"/>
                <w:sz w:val="21"/>
                <w:szCs w:val="21"/>
              </w:rPr>
              <w:t>0.00%</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1260"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總計</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186件</w:t>
            </w:r>
          </w:p>
          <w:p>
            <w:pPr>
              <w:widowControl/>
              <w:ind w:firstLine="0" w:firstLineChars="0"/>
              <w:jc w:val="center"/>
              <w:rPr>
                <w:rFonts w:ascii="宋体" w:hAnsi="宋体" w:eastAsia="宋体"/>
                <w:spacing w:val="-4"/>
                <w:sz w:val="21"/>
                <w:szCs w:val="21"/>
              </w:rPr>
            </w:pPr>
            <w:r>
              <w:rPr>
                <w:rFonts w:ascii="宋体" w:hAnsi="宋体" w:eastAsia="宋体"/>
                <w:spacing w:val="-4"/>
                <w:sz w:val="21"/>
                <w:szCs w:val="21"/>
              </w:rPr>
              <w:t>38.04%</w:t>
            </w:r>
          </w:p>
        </w:tc>
        <w:tc>
          <w:tcPr>
            <w:tcW w:w="916"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105件</w:t>
            </w:r>
          </w:p>
          <w:p>
            <w:pPr>
              <w:widowControl/>
              <w:ind w:firstLine="0" w:firstLineChars="0"/>
              <w:jc w:val="center"/>
              <w:rPr>
                <w:rFonts w:ascii="宋体" w:hAnsi="宋体" w:eastAsia="宋体"/>
                <w:spacing w:val="-4"/>
                <w:sz w:val="21"/>
                <w:szCs w:val="21"/>
              </w:rPr>
            </w:pPr>
            <w:r>
              <w:rPr>
                <w:rFonts w:ascii="宋体" w:hAnsi="宋体" w:eastAsia="宋体"/>
                <w:spacing w:val="-4"/>
                <w:sz w:val="21"/>
                <w:szCs w:val="21"/>
              </w:rPr>
              <w:t>21.47%</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63件</w:t>
            </w:r>
          </w:p>
          <w:p>
            <w:pPr>
              <w:widowControl/>
              <w:ind w:firstLine="0" w:firstLineChars="0"/>
              <w:jc w:val="center"/>
              <w:rPr>
                <w:rFonts w:ascii="宋体" w:hAnsi="宋体" w:eastAsia="宋体"/>
                <w:spacing w:val="-4"/>
                <w:sz w:val="21"/>
                <w:szCs w:val="21"/>
              </w:rPr>
            </w:pPr>
            <w:r>
              <w:rPr>
                <w:rFonts w:ascii="宋体" w:hAnsi="宋体" w:eastAsia="宋体"/>
                <w:spacing w:val="-4"/>
                <w:sz w:val="21"/>
                <w:szCs w:val="21"/>
              </w:rPr>
              <w:t>12.88%</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34件</w:t>
            </w:r>
          </w:p>
          <w:p>
            <w:pPr>
              <w:widowControl/>
              <w:ind w:firstLine="0" w:firstLineChars="0"/>
              <w:jc w:val="center"/>
              <w:rPr>
                <w:rFonts w:ascii="宋体" w:hAnsi="宋体" w:eastAsia="宋体"/>
                <w:spacing w:val="-4"/>
                <w:sz w:val="21"/>
                <w:szCs w:val="21"/>
              </w:rPr>
            </w:pPr>
            <w:r>
              <w:rPr>
                <w:rFonts w:ascii="宋体" w:hAnsi="宋体" w:eastAsia="宋体"/>
                <w:spacing w:val="-4"/>
                <w:sz w:val="21"/>
                <w:szCs w:val="21"/>
              </w:rPr>
              <w:t>6.95%</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43件</w:t>
            </w:r>
          </w:p>
          <w:p>
            <w:pPr>
              <w:widowControl/>
              <w:ind w:firstLine="0" w:firstLineChars="0"/>
              <w:jc w:val="center"/>
              <w:rPr>
                <w:rFonts w:ascii="宋体" w:hAnsi="宋体" w:eastAsia="宋体"/>
                <w:spacing w:val="-4"/>
                <w:sz w:val="21"/>
                <w:szCs w:val="21"/>
              </w:rPr>
            </w:pPr>
            <w:r>
              <w:rPr>
                <w:rFonts w:ascii="宋体" w:hAnsi="宋体" w:eastAsia="宋体"/>
                <w:spacing w:val="-4"/>
                <w:sz w:val="21"/>
                <w:szCs w:val="21"/>
              </w:rPr>
              <w:t>8.79%</w:t>
            </w:r>
          </w:p>
        </w:tc>
        <w:tc>
          <w:tcPr>
            <w:tcW w:w="90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46件</w:t>
            </w:r>
          </w:p>
          <w:p>
            <w:pPr>
              <w:widowControl/>
              <w:ind w:firstLine="0" w:firstLineChars="0"/>
              <w:jc w:val="center"/>
              <w:rPr>
                <w:rFonts w:ascii="宋体" w:hAnsi="宋体" w:eastAsia="宋体"/>
                <w:spacing w:val="-4"/>
                <w:sz w:val="21"/>
                <w:szCs w:val="21"/>
              </w:rPr>
            </w:pPr>
            <w:r>
              <w:rPr>
                <w:rFonts w:ascii="宋体" w:hAnsi="宋体" w:eastAsia="宋体"/>
                <w:spacing w:val="-4"/>
                <w:sz w:val="21"/>
                <w:szCs w:val="21"/>
              </w:rPr>
              <w:t>9.41%</w:t>
            </w:r>
          </w:p>
        </w:tc>
        <w:tc>
          <w:tcPr>
            <w:tcW w:w="845"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12件</w:t>
            </w:r>
          </w:p>
          <w:p>
            <w:pPr>
              <w:widowControl/>
              <w:ind w:firstLine="0" w:firstLineChars="0"/>
              <w:jc w:val="center"/>
              <w:rPr>
                <w:rFonts w:ascii="宋体" w:hAnsi="宋体" w:eastAsia="宋体"/>
                <w:spacing w:val="-4"/>
                <w:sz w:val="21"/>
                <w:szCs w:val="21"/>
              </w:rPr>
            </w:pPr>
            <w:r>
              <w:rPr>
                <w:rFonts w:ascii="宋体" w:hAnsi="宋体" w:eastAsia="宋体"/>
                <w:spacing w:val="-4"/>
                <w:sz w:val="21"/>
                <w:szCs w:val="21"/>
              </w:rPr>
              <w:t>2.45%</w:t>
            </w:r>
          </w:p>
        </w:tc>
        <w:tc>
          <w:tcPr>
            <w:tcW w:w="1091"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489件</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bl>
    <w:p>
      <w:pPr>
        <w:ind w:firstLine="480"/>
      </w:pPr>
      <w:r>
        <w:rPr>
          <w:rFonts w:hint="eastAsia" w:ascii="宋体" w:hAnsi="宋体" w:eastAsia="宋体" w:cs="宋体"/>
          <w:sz w:val="21"/>
          <w:szCs w:val="21"/>
        </w:rPr>
        <w:t>說明：有部份案件之運輸手法包括多種手法，故表中案件總計為489件。</w:t>
      </w:r>
    </w:p>
    <w:p>
      <w:pPr>
        <w:pStyle w:val="5"/>
        <w:ind w:firstLine="480"/>
      </w:pPr>
      <w:r>
        <w:t>五、跨境毒品販運犯罪者籍貫</w:t>
      </w:r>
    </w:p>
    <w:p>
      <w:pPr>
        <w:ind w:firstLine="480"/>
      </w:pPr>
      <w:r>
        <w:rPr>
          <w:rFonts w:hint="eastAsia" w:ascii="宋体" w:hAnsi="宋体" w:eastAsia="宋体" w:cs="宋体"/>
        </w:rPr>
        <w:t>根據判決書內容，犯罪者共計793人，臺灣地區753人，占94.96%，馬來西亞10人，占1.26%、越南3人，占0.38%及其他27人(英國、法國、泰國、韓國、尼泊爾、印度、柬埔寨等)，占3.40%。相關資料如表4。</w:t>
      </w:r>
    </w:p>
    <w:p>
      <w:pPr>
        <w:spacing w:line="240" w:lineRule="auto"/>
        <w:ind w:firstLine="440"/>
        <w:rPr>
          <w:rFonts w:eastAsia="MingLiU"/>
          <w:sz w:val="22"/>
          <w:szCs w:val="22"/>
        </w:rPr>
      </w:pPr>
    </w:p>
    <w:p>
      <w:pPr>
        <w:ind w:firstLine="480"/>
        <w:jc w:val="center"/>
        <w:rPr>
          <w:rFonts w:hint="eastAsia" w:ascii="宋体" w:hAnsi="宋体" w:eastAsia="宋体" w:cs="宋体"/>
          <w:sz w:val="21"/>
          <w:szCs w:val="21"/>
        </w:rPr>
      </w:pPr>
      <w:r>
        <w:rPr>
          <w:rFonts w:hint="eastAsia" w:ascii="宋体" w:hAnsi="宋体" w:eastAsia="宋体" w:cs="宋体"/>
          <w:sz w:val="21"/>
          <w:szCs w:val="21"/>
        </w:rPr>
        <w:t>表4  跨境毒品販運犯罪者籍貫分析</w:t>
      </w:r>
    </w:p>
    <w:tbl>
      <w:tblPr>
        <w:tblStyle w:val="46"/>
        <w:tblW w:w="8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43"/>
        <w:gridCol w:w="1571"/>
        <w:gridCol w:w="1571"/>
        <w:gridCol w:w="1049"/>
        <w:gridCol w:w="12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13" w:hRule="atLeast"/>
          <w:jc w:val="center"/>
        </w:trPr>
        <w:tc>
          <w:tcPr>
            <w:tcW w:w="1943" w:type="dxa"/>
            <w:tcBorders>
              <w:tl2br w:val="single" w:color="auto" w:sz="4" w:space="0"/>
            </w:tcBorders>
            <w:shd w:val="clear" w:color="auto" w:fill="E6E6E6"/>
            <w:vAlign w:val="bottom"/>
          </w:tcPr>
          <w:p>
            <w:pPr>
              <w:widowControl/>
              <w:ind w:firstLine="0" w:firstLineChars="0"/>
              <w:jc w:val="right"/>
              <w:rPr>
                <w:rFonts w:ascii="宋体" w:hAnsi="宋体" w:eastAsia="宋体"/>
                <w:sz w:val="21"/>
                <w:szCs w:val="21"/>
              </w:rPr>
            </w:pPr>
            <w:r>
              <w:rPr>
                <w:rFonts w:ascii="宋体" w:hAnsi="宋体" w:eastAsia="宋体"/>
                <w:sz w:val="21"/>
                <w:szCs w:val="21"/>
              </w:rPr>
              <w:t>犯罪者籍貫</w:t>
            </w:r>
          </w:p>
          <w:p>
            <w:pPr>
              <w:widowControl/>
              <w:ind w:firstLine="0" w:firstLineChars="0"/>
              <w:rPr>
                <w:rFonts w:ascii="宋体" w:hAnsi="宋体" w:eastAsia="宋体"/>
                <w:sz w:val="21"/>
                <w:szCs w:val="21"/>
              </w:rPr>
            </w:pPr>
            <w:r>
              <w:rPr>
                <w:rFonts w:ascii="宋体" w:hAnsi="宋体" w:eastAsia="宋体"/>
                <w:sz w:val="21"/>
                <w:szCs w:val="21"/>
              </w:rPr>
              <w:t>毒品類別</w:t>
            </w:r>
          </w:p>
        </w:tc>
        <w:tc>
          <w:tcPr>
            <w:tcW w:w="1571" w:type="dxa"/>
            <w:shd w:val="clear" w:color="auto" w:fill="E6E6E6"/>
            <w:vAlign w:val="center"/>
          </w:tcPr>
          <w:p>
            <w:pPr>
              <w:widowControl/>
              <w:spacing w:before="163" w:beforeLines="50" w:after="163" w:afterLines="50"/>
              <w:ind w:firstLine="0" w:firstLineChars="0"/>
              <w:jc w:val="center"/>
              <w:rPr>
                <w:rFonts w:ascii="宋体" w:hAnsi="宋体" w:eastAsia="宋体"/>
                <w:sz w:val="21"/>
                <w:szCs w:val="21"/>
              </w:rPr>
            </w:pPr>
            <w:r>
              <w:rPr>
                <w:rFonts w:ascii="宋体" w:hAnsi="宋体" w:eastAsia="宋体"/>
                <w:sz w:val="21"/>
                <w:szCs w:val="21"/>
              </w:rPr>
              <w:t>臺灣</w:t>
            </w:r>
            <w:r>
              <w:rPr>
                <w:rFonts w:hint="eastAsia" w:ascii="宋体" w:hAnsi="宋体" w:eastAsia="宋体"/>
                <w:sz w:val="21"/>
                <w:szCs w:val="21"/>
              </w:rPr>
              <w:t>地區</w:t>
            </w:r>
          </w:p>
        </w:tc>
        <w:tc>
          <w:tcPr>
            <w:tcW w:w="1571" w:type="dxa"/>
            <w:shd w:val="clear" w:color="auto" w:fill="E6E6E6"/>
            <w:vAlign w:val="center"/>
          </w:tcPr>
          <w:p>
            <w:pPr>
              <w:widowControl/>
              <w:spacing w:before="163" w:beforeLines="50" w:after="163" w:afterLines="50"/>
              <w:ind w:firstLine="0" w:firstLineChars="0"/>
              <w:jc w:val="center"/>
              <w:rPr>
                <w:rFonts w:ascii="宋体" w:hAnsi="宋体" w:eastAsia="宋体"/>
                <w:sz w:val="21"/>
                <w:szCs w:val="21"/>
              </w:rPr>
            </w:pPr>
            <w:r>
              <w:rPr>
                <w:rFonts w:ascii="宋体" w:hAnsi="宋体" w:eastAsia="宋体"/>
                <w:sz w:val="21"/>
                <w:szCs w:val="21"/>
              </w:rPr>
              <w:t>馬來西亞</w:t>
            </w:r>
          </w:p>
        </w:tc>
        <w:tc>
          <w:tcPr>
            <w:tcW w:w="1049" w:type="dxa"/>
            <w:shd w:val="clear" w:color="auto" w:fill="E6E6E6"/>
            <w:vAlign w:val="center"/>
          </w:tcPr>
          <w:p>
            <w:pPr>
              <w:widowControl/>
              <w:spacing w:before="163" w:beforeLines="50" w:after="163" w:afterLines="50"/>
              <w:ind w:firstLine="0" w:firstLineChars="0"/>
              <w:jc w:val="center"/>
              <w:rPr>
                <w:rFonts w:ascii="宋体" w:hAnsi="宋体" w:eastAsia="宋体"/>
                <w:sz w:val="21"/>
                <w:szCs w:val="21"/>
              </w:rPr>
            </w:pPr>
            <w:r>
              <w:rPr>
                <w:rFonts w:ascii="宋体" w:hAnsi="宋体" w:eastAsia="宋体"/>
                <w:sz w:val="21"/>
                <w:szCs w:val="21"/>
              </w:rPr>
              <w:t>越南</w:t>
            </w:r>
          </w:p>
        </w:tc>
        <w:tc>
          <w:tcPr>
            <w:tcW w:w="1234" w:type="dxa"/>
            <w:shd w:val="clear" w:color="auto" w:fill="E6E6E6"/>
            <w:vAlign w:val="center"/>
          </w:tcPr>
          <w:p>
            <w:pPr>
              <w:widowControl/>
              <w:spacing w:before="163" w:beforeLines="50" w:after="163" w:afterLines="50"/>
              <w:ind w:firstLine="0" w:firstLineChars="0"/>
              <w:jc w:val="center"/>
              <w:rPr>
                <w:rFonts w:ascii="宋体" w:hAnsi="宋体" w:eastAsia="宋体"/>
                <w:sz w:val="21"/>
                <w:szCs w:val="21"/>
              </w:rPr>
            </w:pPr>
            <w:r>
              <w:rPr>
                <w:rFonts w:ascii="宋体" w:hAnsi="宋体" w:eastAsia="宋体"/>
                <w:sz w:val="21"/>
                <w:szCs w:val="21"/>
              </w:rPr>
              <w:t>其他</w:t>
            </w:r>
          </w:p>
        </w:tc>
        <w:tc>
          <w:tcPr>
            <w:tcW w:w="1418" w:type="dxa"/>
            <w:shd w:val="clear" w:color="auto" w:fill="E6E6E6"/>
            <w:vAlign w:val="center"/>
          </w:tcPr>
          <w:p>
            <w:pPr>
              <w:widowControl/>
              <w:spacing w:before="163" w:beforeLines="50" w:after="163" w:afterLines="50"/>
              <w:ind w:firstLine="0" w:firstLineChars="0"/>
              <w:jc w:val="center"/>
              <w:rPr>
                <w:rFonts w:ascii="宋体" w:hAnsi="宋体" w:eastAsia="宋体"/>
                <w:sz w:val="21"/>
                <w:szCs w:val="21"/>
              </w:rPr>
            </w:pPr>
            <w:r>
              <w:rPr>
                <w:rFonts w:ascii="宋体" w:hAnsi="宋体" w:eastAsia="宋体"/>
                <w:sz w:val="21"/>
                <w:szCs w:val="21"/>
              </w:rPr>
              <w:t>總計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愷他命</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305人</w:t>
            </w:r>
          </w:p>
          <w:p>
            <w:pPr>
              <w:widowControl/>
              <w:ind w:firstLine="0" w:firstLineChars="0"/>
              <w:jc w:val="center"/>
              <w:rPr>
                <w:rFonts w:ascii="宋体" w:hAnsi="宋体" w:eastAsia="宋体"/>
                <w:sz w:val="21"/>
                <w:szCs w:val="21"/>
              </w:rPr>
            </w:pPr>
            <w:r>
              <w:rPr>
                <w:rFonts w:ascii="宋体" w:hAnsi="宋体" w:eastAsia="宋体"/>
                <w:sz w:val="21"/>
                <w:szCs w:val="21"/>
              </w:rPr>
              <w:t>99.35%</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1人</w:t>
            </w:r>
          </w:p>
          <w:p>
            <w:pPr>
              <w:widowControl/>
              <w:ind w:firstLine="0" w:firstLineChars="0"/>
              <w:jc w:val="center"/>
              <w:rPr>
                <w:rFonts w:ascii="宋体" w:hAnsi="宋体" w:eastAsia="宋体"/>
                <w:sz w:val="21"/>
                <w:szCs w:val="21"/>
              </w:rPr>
            </w:pPr>
            <w:r>
              <w:rPr>
                <w:rFonts w:ascii="宋体" w:hAnsi="宋体" w:eastAsia="宋体"/>
                <w:sz w:val="21"/>
                <w:szCs w:val="21"/>
              </w:rPr>
              <w:t>0.33%</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1人</w:t>
            </w:r>
          </w:p>
          <w:p>
            <w:pPr>
              <w:widowControl/>
              <w:ind w:firstLine="0" w:firstLineChars="0"/>
              <w:jc w:val="center"/>
              <w:rPr>
                <w:rFonts w:ascii="宋体" w:hAnsi="宋体" w:eastAsia="宋体"/>
                <w:sz w:val="21"/>
                <w:szCs w:val="21"/>
              </w:rPr>
            </w:pPr>
            <w:r>
              <w:rPr>
                <w:rFonts w:ascii="宋体" w:hAnsi="宋体" w:eastAsia="宋体"/>
                <w:sz w:val="21"/>
                <w:szCs w:val="21"/>
              </w:rPr>
              <w:t>0.33%</w:t>
            </w:r>
          </w:p>
        </w:tc>
        <w:tc>
          <w:tcPr>
            <w:tcW w:w="1418"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307人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海洛因</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265人</w:t>
            </w:r>
          </w:p>
          <w:p>
            <w:pPr>
              <w:widowControl/>
              <w:ind w:firstLine="0" w:firstLineChars="0"/>
              <w:jc w:val="center"/>
              <w:rPr>
                <w:rFonts w:ascii="宋体" w:hAnsi="宋体" w:eastAsia="宋体"/>
                <w:sz w:val="21"/>
                <w:szCs w:val="21"/>
              </w:rPr>
            </w:pPr>
            <w:r>
              <w:rPr>
                <w:rFonts w:ascii="宋体" w:hAnsi="宋体" w:eastAsia="宋体"/>
                <w:sz w:val="21"/>
                <w:szCs w:val="21"/>
              </w:rPr>
              <w:t>89.23%</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9人</w:t>
            </w:r>
          </w:p>
          <w:p>
            <w:pPr>
              <w:widowControl/>
              <w:ind w:firstLine="0" w:firstLineChars="0"/>
              <w:jc w:val="center"/>
              <w:rPr>
                <w:rFonts w:ascii="宋体" w:hAnsi="宋体" w:eastAsia="宋体"/>
                <w:sz w:val="21"/>
                <w:szCs w:val="21"/>
              </w:rPr>
            </w:pPr>
            <w:r>
              <w:rPr>
                <w:rFonts w:ascii="宋体" w:hAnsi="宋体" w:eastAsia="宋体"/>
                <w:sz w:val="21"/>
                <w:szCs w:val="21"/>
              </w:rPr>
              <w:t>3.0.%</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3人</w:t>
            </w:r>
          </w:p>
          <w:p>
            <w:pPr>
              <w:widowControl/>
              <w:ind w:firstLine="0" w:firstLineChars="0"/>
              <w:jc w:val="center"/>
              <w:rPr>
                <w:rFonts w:ascii="宋体" w:hAnsi="宋体" w:eastAsia="宋体"/>
                <w:sz w:val="21"/>
                <w:szCs w:val="21"/>
              </w:rPr>
            </w:pPr>
            <w:r>
              <w:rPr>
                <w:rFonts w:ascii="宋体" w:hAnsi="宋体" w:eastAsia="宋体"/>
                <w:sz w:val="21"/>
                <w:szCs w:val="21"/>
              </w:rPr>
              <w:t>1.01%</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20人</w:t>
            </w:r>
          </w:p>
          <w:p>
            <w:pPr>
              <w:widowControl/>
              <w:ind w:firstLine="0" w:firstLineChars="0"/>
              <w:jc w:val="center"/>
              <w:rPr>
                <w:rFonts w:ascii="宋体" w:hAnsi="宋体" w:eastAsia="宋体"/>
                <w:sz w:val="21"/>
                <w:szCs w:val="21"/>
              </w:rPr>
            </w:pPr>
            <w:r>
              <w:rPr>
                <w:rFonts w:ascii="宋体" w:hAnsi="宋体" w:eastAsia="宋体"/>
                <w:sz w:val="21"/>
                <w:szCs w:val="21"/>
              </w:rPr>
              <w:t>6.73%</w:t>
            </w:r>
          </w:p>
        </w:tc>
        <w:tc>
          <w:tcPr>
            <w:tcW w:w="1418"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297人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安非他命類</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78人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418"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78人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MDMA</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18人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418"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18人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混合販運</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46人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418"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46人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大麻類</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21人</w:t>
            </w:r>
          </w:p>
          <w:p>
            <w:pPr>
              <w:widowControl/>
              <w:ind w:firstLine="0" w:firstLineChars="0"/>
              <w:jc w:val="center"/>
              <w:rPr>
                <w:rFonts w:ascii="宋体" w:hAnsi="宋体" w:eastAsia="宋体"/>
                <w:sz w:val="21"/>
                <w:szCs w:val="21"/>
              </w:rPr>
            </w:pPr>
            <w:r>
              <w:rPr>
                <w:rFonts w:ascii="宋体" w:hAnsi="宋体" w:eastAsia="宋体"/>
                <w:sz w:val="21"/>
                <w:szCs w:val="21"/>
              </w:rPr>
              <w:t>77.78%</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6人</w:t>
            </w:r>
          </w:p>
          <w:p>
            <w:pPr>
              <w:widowControl/>
              <w:ind w:firstLine="0" w:firstLineChars="0"/>
              <w:jc w:val="center"/>
              <w:rPr>
                <w:rFonts w:ascii="宋体" w:hAnsi="宋体" w:eastAsia="宋体"/>
                <w:sz w:val="21"/>
                <w:szCs w:val="21"/>
              </w:rPr>
            </w:pPr>
            <w:r>
              <w:rPr>
                <w:rFonts w:ascii="宋体" w:hAnsi="宋体" w:eastAsia="宋体"/>
                <w:sz w:val="21"/>
                <w:szCs w:val="21"/>
              </w:rPr>
              <w:t>22.22%</w:t>
            </w:r>
          </w:p>
        </w:tc>
        <w:tc>
          <w:tcPr>
            <w:tcW w:w="1418"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27人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一粒眠</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10人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418"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10人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古柯鹼</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1人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418"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1人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麻黃</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3人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418" w:type="dxa"/>
            <w:vAlign w:val="top"/>
          </w:tcPr>
          <w:p>
            <w:pPr>
              <w:widowControl/>
              <w:ind w:firstLine="0" w:firstLineChars="0"/>
              <w:jc w:val="center"/>
              <w:rPr>
                <w:rFonts w:ascii="宋体" w:hAnsi="宋体" w:eastAsia="宋体"/>
                <w:sz w:val="21"/>
                <w:szCs w:val="21"/>
              </w:rPr>
            </w:pPr>
            <w:r>
              <w:rPr>
                <w:rFonts w:ascii="宋体" w:hAnsi="宋体" w:eastAsia="宋体"/>
                <w:sz w:val="21"/>
                <w:szCs w:val="21"/>
              </w:rPr>
              <w:t>3人</w:t>
            </w:r>
          </w:p>
          <w:p>
            <w:pPr>
              <w:ind w:firstLine="0" w:firstLineChars="0"/>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鹽酸羥亞胺</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6人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0人</w:t>
            </w:r>
          </w:p>
          <w:p>
            <w:pPr>
              <w:widowControl/>
              <w:ind w:firstLine="0" w:firstLineChars="0"/>
              <w:jc w:val="center"/>
              <w:rPr>
                <w:rFonts w:ascii="宋体" w:hAnsi="宋体" w:eastAsia="宋体"/>
                <w:sz w:val="21"/>
                <w:szCs w:val="21"/>
              </w:rPr>
            </w:pPr>
            <w:r>
              <w:rPr>
                <w:rFonts w:ascii="宋体" w:hAnsi="宋体" w:eastAsia="宋体"/>
                <w:sz w:val="21"/>
                <w:szCs w:val="21"/>
              </w:rPr>
              <w:t>0.00%</w:t>
            </w:r>
          </w:p>
        </w:tc>
        <w:tc>
          <w:tcPr>
            <w:tcW w:w="1418"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6人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1943" w:type="dxa"/>
            <w:vAlign w:val="center"/>
          </w:tcPr>
          <w:p>
            <w:pPr>
              <w:widowControl/>
              <w:ind w:firstLine="0" w:firstLineChars="0"/>
              <w:jc w:val="center"/>
              <w:rPr>
                <w:rFonts w:ascii="宋体" w:hAnsi="宋体" w:eastAsia="宋体"/>
                <w:sz w:val="21"/>
                <w:szCs w:val="21"/>
              </w:rPr>
            </w:pPr>
            <w:r>
              <w:rPr>
                <w:rFonts w:ascii="宋体" w:hAnsi="宋体" w:eastAsia="宋体"/>
                <w:sz w:val="21"/>
                <w:szCs w:val="21"/>
              </w:rPr>
              <w:t>總計</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753人</w:t>
            </w:r>
          </w:p>
          <w:p>
            <w:pPr>
              <w:widowControl/>
              <w:ind w:firstLine="0" w:firstLineChars="0"/>
              <w:jc w:val="center"/>
              <w:rPr>
                <w:rFonts w:ascii="宋体" w:hAnsi="宋体" w:eastAsia="宋体"/>
                <w:sz w:val="21"/>
                <w:szCs w:val="21"/>
              </w:rPr>
            </w:pPr>
            <w:r>
              <w:rPr>
                <w:rFonts w:ascii="宋体" w:hAnsi="宋体" w:eastAsia="宋体"/>
                <w:sz w:val="21"/>
                <w:szCs w:val="21"/>
              </w:rPr>
              <w:t>94.96%</w:t>
            </w:r>
          </w:p>
        </w:tc>
        <w:tc>
          <w:tcPr>
            <w:tcW w:w="1571"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10人</w:t>
            </w:r>
          </w:p>
          <w:p>
            <w:pPr>
              <w:widowControl/>
              <w:ind w:firstLine="0" w:firstLineChars="0"/>
              <w:jc w:val="center"/>
              <w:rPr>
                <w:rFonts w:ascii="宋体" w:hAnsi="宋体" w:eastAsia="宋体"/>
                <w:sz w:val="21"/>
                <w:szCs w:val="21"/>
              </w:rPr>
            </w:pPr>
            <w:r>
              <w:rPr>
                <w:rFonts w:ascii="宋体" w:hAnsi="宋体" w:eastAsia="宋体"/>
                <w:sz w:val="21"/>
                <w:szCs w:val="21"/>
              </w:rPr>
              <w:t>1.26%</w:t>
            </w:r>
          </w:p>
        </w:tc>
        <w:tc>
          <w:tcPr>
            <w:tcW w:w="1049"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3人</w:t>
            </w:r>
          </w:p>
          <w:p>
            <w:pPr>
              <w:widowControl/>
              <w:ind w:firstLine="0" w:firstLineChars="0"/>
              <w:jc w:val="center"/>
              <w:rPr>
                <w:rFonts w:ascii="宋体" w:hAnsi="宋体" w:eastAsia="宋体"/>
                <w:sz w:val="21"/>
                <w:szCs w:val="21"/>
              </w:rPr>
            </w:pPr>
            <w:r>
              <w:rPr>
                <w:rFonts w:ascii="宋体" w:hAnsi="宋体" w:eastAsia="宋体"/>
                <w:sz w:val="21"/>
                <w:szCs w:val="21"/>
              </w:rPr>
              <w:t>0.38%</w:t>
            </w:r>
          </w:p>
        </w:tc>
        <w:tc>
          <w:tcPr>
            <w:tcW w:w="1234"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27人</w:t>
            </w:r>
          </w:p>
          <w:p>
            <w:pPr>
              <w:widowControl/>
              <w:ind w:firstLine="0" w:firstLineChars="0"/>
              <w:jc w:val="center"/>
              <w:rPr>
                <w:rFonts w:ascii="宋体" w:hAnsi="宋体" w:eastAsia="宋体"/>
                <w:sz w:val="21"/>
                <w:szCs w:val="21"/>
              </w:rPr>
            </w:pPr>
            <w:r>
              <w:rPr>
                <w:rFonts w:ascii="宋体" w:hAnsi="宋体" w:eastAsia="宋体"/>
                <w:sz w:val="21"/>
                <w:szCs w:val="21"/>
              </w:rPr>
              <w:t>3.40%</w:t>
            </w:r>
          </w:p>
        </w:tc>
        <w:tc>
          <w:tcPr>
            <w:tcW w:w="1418" w:type="dxa"/>
            <w:vAlign w:val="bottom"/>
          </w:tcPr>
          <w:p>
            <w:pPr>
              <w:widowControl/>
              <w:ind w:firstLine="0" w:firstLineChars="0"/>
              <w:jc w:val="center"/>
              <w:rPr>
                <w:rFonts w:ascii="宋体" w:hAnsi="宋体" w:eastAsia="宋体"/>
                <w:sz w:val="21"/>
                <w:szCs w:val="21"/>
              </w:rPr>
            </w:pPr>
            <w:r>
              <w:rPr>
                <w:rFonts w:ascii="宋体" w:hAnsi="宋体" w:eastAsia="宋体"/>
                <w:sz w:val="21"/>
                <w:szCs w:val="21"/>
              </w:rPr>
              <w:t>793人</w:t>
            </w:r>
          </w:p>
          <w:p>
            <w:pPr>
              <w:widowControl/>
              <w:ind w:firstLine="0" w:firstLineChars="0"/>
              <w:jc w:val="center"/>
              <w:rPr>
                <w:rFonts w:ascii="宋体" w:hAnsi="宋体" w:eastAsia="宋体"/>
                <w:sz w:val="21"/>
                <w:szCs w:val="21"/>
              </w:rPr>
            </w:pPr>
            <w:r>
              <w:rPr>
                <w:rFonts w:ascii="宋体" w:hAnsi="宋体" w:eastAsia="宋体"/>
                <w:sz w:val="21"/>
                <w:szCs w:val="21"/>
              </w:rPr>
              <w:t>100.00%</w:t>
            </w:r>
          </w:p>
        </w:tc>
      </w:tr>
    </w:tbl>
    <w:p>
      <w:pPr>
        <w:pStyle w:val="5"/>
        <w:ind w:firstLine="480"/>
      </w:pPr>
      <w:r>
        <w:rPr>
          <w:rFonts w:hint="eastAsia"/>
        </w:rPr>
        <w:t>六、小結</w:t>
      </w:r>
    </w:p>
    <w:p>
      <w:pPr>
        <w:ind w:firstLine="480"/>
        <w:rPr>
          <w:rFonts w:hint="eastAsia" w:ascii="宋体" w:hAnsi="宋体" w:eastAsia="宋体" w:cs="宋体"/>
          <w:sz w:val="24"/>
          <w:szCs w:val="24"/>
        </w:rPr>
      </w:pPr>
      <w:r>
        <w:rPr>
          <w:rFonts w:hint="eastAsia"/>
        </w:rPr>
        <w:t xml:space="preserve">   </w:t>
      </w:r>
      <w:r>
        <w:rPr>
          <w:rFonts w:hint="eastAsia" w:ascii="宋体" w:hAnsi="宋体" w:eastAsia="宋体" w:cs="宋体"/>
          <w:sz w:val="24"/>
          <w:szCs w:val="24"/>
        </w:rPr>
        <w:t xml:space="preserve"> 綜合上述分析，依案件數前三順位排序如下。</w:t>
      </w:r>
    </w:p>
    <w:p>
      <w:pPr>
        <w:pStyle w:val="58"/>
        <w:numPr>
          <w:numId w:val="0"/>
        </w:numPr>
        <w:spacing w:line="360" w:lineRule="exact"/>
        <w:ind w:left="480" w:leftChars="0"/>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毒品類型：愷他命、海洛因、安非他命。</w:t>
      </w:r>
    </w:p>
    <w:p>
      <w:pPr>
        <w:pStyle w:val="58"/>
        <w:numPr>
          <w:numId w:val="0"/>
        </w:numPr>
        <w:spacing w:line="360" w:lineRule="exact"/>
        <w:ind w:left="480" w:leftChars="0"/>
        <w:rPr>
          <w:rFonts w:hint="eastAsia" w:ascii="宋体" w:hAnsi="宋体" w:eastAsia="宋体" w:cs="宋体"/>
          <w:sz w:val="24"/>
          <w:szCs w:val="24"/>
        </w:rPr>
      </w:pPr>
      <w:r>
        <w:rPr>
          <w:rFonts w:hint="eastAsia" w:ascii="宋体" w:hAnsi="宋体" w:cs="宋体"/>
          <w:sz w:val="24"/>
          <w:szCs w:val="24"/>
          <w:lang w:eastAsia="zh-CN"/>
        </w:rPr>
        <w:t>（二）</w:t>
      </w:r>
      <w:r>
        <w:rPr>
          <w:rFonts w:hint="eastAsia" w:ascii="宋体" w:hAnsi="宋体" w:eastAsia="宋体" w:cs="宋体"/>
          <w:sz w:val="24"/>
          <w:szCs w:val="24"/>
        </w:rPr>
        <w:t>入境臺灣地區前的啟程地點：大陸地區為入境臺灣地區前的主要啟程地點（也可能是中轉地），主要城市為珠海、深圳、香港、</w:t>
      </w:r>
    </w:p>
    <w:p>
      <w:pPr>
        <w:pStyle w:val="58"/>
        <w:numPr>
          <w:numId w:val="0"/>
        </w:numPr>
        <w:spacing w:line="360" w:lineRule="exact"/>
        <w:ind w:left="480" w:leftChars="0"/>
        <w:rPr>
          <w:rFonts w:hint="eastAsia" w:ascii="宋体" w:hAnsi="宋体" w:eastAsia="宋体" w:cs="宋体"/>
          <w:sz w:val="24"/>
          <w:szCs w:val="24"/>
        </w:rPr>
      </w:pPr>
      <w:r>
        <w:rPr>
          <w:rFonts w:hint="eastAsia" w:ascii="宋体" w:hAnsi="宋体" w:cs="宋体"/>
          <w:sz w:val="24"/>
          <w:szCs w:val="24"/>
          <w:lang w:eastAsia="zh-CN"/>
        </w:rPr>
        <w:t>（三）</w:t>
      </w:r>
      <w:r>
        <w:rPr>
          <w:rFonts w:hint="eastAsia" w:ascii="宋体" w:hAnsi="宋体" w:eastAsia="宋体" w:cs="宋体"/>
          <w:sz w:val="24"/>
          <w:szCs w:val="24"/>
        </w:rPr>
        <w:t>入境臺灣地區的地點：桃園機場、小港機場、高雄港。</w:t>
      </w:r>
    </w:p>
    <w:p>
      <w:pPr>
        <w:pStyle w:val="58"/>
        <w:numPr>
          <w:numId w:val="0"/>
        </w:numPr>
        <w:spacing w:line="360" w:lineRule="exact"/>
        <w:ind w:left="480" w:leftChars="0"/>
        <w:rPr>
          <w:rFonts w:hint="eastAsia" w:ascii="宋体" w:hAnsi="宋体" w:eastAsia="宋体" w:cs="宋体"/>
          <w:sz w:val="24"/>
          <w:szCs w:val="24"/>
        </w:rPr>
      </w:pPr>
      <w:r>
        <w:rPr>
          <w:rFonts w:hint="eastAsia" w:ascii="宋体" w:hAnsi="宋体" w:cs="宋体"/>
          <w:sz w:val="24"/>
          <w:szCs w:val="24"/>
          <w:lang w:eastAsia="zh-CN"/>
        </w:rPr>
        <w:t>（四）</w:t>
      </w:r>
      <w:r>
        <w:rPr>
          <w:rFonts w:hint="eastAsia" w:ascii="宋体" w:hAnsi="宋体" w:eastAsia="宋体" w:cs="宋体"/>
          <w:sz w:val="24"/>
          <w:szCs w:val="24"/>
        </w:rPr>
        <w:t>運輸手法：包裹快遞、隨身攜帶、肛門夾帶。</w:t>
      </w:r>
    </w:p>
    <w:p>
      <w:pPr>
        <w:pStyle w:val="58"/>
        <w:numPr>
          <w:numId w:val="0"/>
        </w:numPr>
        <w:spacing w:line="360" w:lineRule="exact"/>
        <w:ind w:left="480" w:leftChars="0"/>
        <w:rPr>
          <w:rFonts w:hAnsi="MingLiU"/>
          <w:sz w:val="24"/>
          <w:szCs w:val="24"/>
        </w:rPr>
      </w:pPr>
      <w:r>
        <w:rPr>
          <w:rFonts w:hint="eastAsia" w:ascii="宋体" w:hAnsi="宋体" w:cs="宋体"/>
          <w:sz w:val="24"/>
          <w:szCs w:val="24"/>
          <w:lang w:eastAsia="zh-CN"/>
        </w:rPr>
        <w:t>（五）</w:t>
      </w:r>
      <w:r>
        <w:rPr>
          <w:rFonts w:hint="eastAsia" w:ascii="宋体" w:hAnsi="宋体" w:eastAsia="宋体" w:cs="宋体"/>
          <w:sz w:val="24"/>
          <w:szCs w:val="24"/>
        </w:rPr>
        <w:t>犯罪者籍貫：臺灣地區最多（占94.96%）、馬來西亞（占1.26），其餘甚少。</w:t>
      </w:r>
    </w:p>
    <w:p>
      <w:pPr>
        <w:pStyle w:val="4"/>
        <w:ind w:firstLine="560"/>
      </w:pPr>
      <w:r>
        <w:t>參、毒品販運的全球趨勢、特徵與模式</w:t>
      </w:r>
    </w:p>
    <w:p>
      <w:pPr>
        <w:ind w:firstLine="480"/>
        <w:rPr>
          <w:rFonts w:hint="eastAsia" w:ascii="宋体" w:hAnsi="宋体" w:eastAsia="宋体" w:cs="宋体"/>
          <w:sz w:val="24"/>
          <w:szCs w:val="24"/>
        </w:rPr>
      </w:pPr>
      <w:r>
        <w:rPr>
          <w:rFonts w:hint="eastAsia" w:ascii="宋体" w:hAnsi="宋体" w:eastAsia="宋体" w:cs="宋体"/>
          <w:sz w:val="24"/>
          <w:szCs w:val="24"/>
        </w:rPr>
        <w:t>根據「聯合國毒品和犯罪問題辦公室」（UNODC）所公布的《2013年世界毒品報告</w:t>
      </w:r>
      <w:r>
        <w:rPr>
          <w:rStyle w:val="39"/>
          <w:rFonts w:hint="eastAsia" w:ascii="宋体" w:hAnsi="宋体" w:eastAsia="宋体" w:cs="宋体"/>
          <w:sz w:val="24"/>
          <w:szCs w:val="24"/>
        </w:rPr>
        <w:endnoteReference w:id="0"/>
      </w:r>
      <w:r>
        <w:rPr>
          <w:rFonts w:hint="eastAsia" w:ascii="宋体" w:hAnsi="宋体" w:eastAsia="宋体" w:cs="宋体"/>
          <w:sz w:val="24"/>
          <w:szCs w:val="24"/>
        </w:rPr>
        <w:t>》（World Drug Report 2013），全球15歳~64歳吸毒人數約為1億6千7百萬人至3億1千5百萬人，占全球15歳~64歳人口數的3.6%~6.9%。2011年在全球15歳~64歳人口中，大約有1千4百萬人至少使用過一次非法藥物，占全球15歳~64歳人口數的0.31%，其中有160萬人攜帶愛滋病毒，有720萬人帶有C型肝炎病毒。問題吸毒者的數量約為2,700萬人，占全球15歳~64歳人口數的0.3%~0.9%。而在2011年，與毒品有關的死亡人數估計為21萬1千人，其中多數是年輕的使用者，而鴉片是毒品相關死亡事件中所占比率最高的（UNODC, 2013）。</w:t>
      </w:r>
    </w:p>
    <w:p>
      <w:pPr>
        <w:ind w:firstLine="480"/>
        <w:rPr>
          <w:rFonts w:hint="eastAsia" w:ascii="宋体" w:hAnsi="宋体" w:eastAsia="宋体" w:cs="宋体"/>
          <w:sz w:val="24"/>
          <w:szCs w:val="24"/>
        </w:rPr>
      </w:pPr>
      <w:r>
        <w:rPr>
          <w:rFonts w:hint="eastAsia" w:ascii="宋体" w:hAnsi="宋体" w:eastAsia="宋体" w:cs="宋体"/>
          <w:sz w:val="24"/>
          <w:szCs w:val="24"/>
        </w:rPr>
        <w:t>以下將分別探討大麻類毒品、古柯鹼、鴉片類麻醉藥品以及安非他命類興奮劑等全球販運的趨勢、地區特徵與販運模式。</w:t>
      </w:r>
    </w:p>
    <w:p>
      <w:pPr>
        <w:pStyle w:val="5"/>
        <w:ind w:firstLine="480"/>
      </w:pPr>
      <w:r>
        <w:t>一、大麻（含大麻煙草及大麻脂）</w:t>
      </w:r>
    </w:p>
    <w:p>
      <w:pPr>
        <w:ind w:firstLine="480"/>
      </w:pPr>
      <w:r>
        <w:rPr>
          <w:rFonts w:hint="eastAsia" w:ascii="宋体" w:hAnsi="宋体" w:eastAsia="宋体" w:cs="宋体"/>
          <w:sz w:val="24"/>
          <w:szCs w:val="24"/>
        </w:rPr>
        <w:t>大麻是全球生產和消費數量最大的毒品。根據UNODC（2013）的估計，全球15~64歲施用大麻人數約有1億8千零6萬人，占全球15~64歲人口的3.9％，大部分是大麻煙草吸毒者。</w:t>
      </w:r>
    </w:p>
    <w:p>
      <w:pPr>
        <w:ind w:firstLine="480"/>
        <w:rPr>
          <w:rFonts w:hint="eastAsia" w:ascii="宋体" w:hAnsi="宋体" w:eastAsia="宋体" w:cs="宋体"/>
        </w:rPr>
      </w:pPr>
      <w:r>
        <w:rPr>
          <w:rFonts w:hint="eastAsia" w:ascii="宋体" w:hAnsi="宋体" w:eastAsia="宋体" w:cs="宋体"/>
        </w:rPr>
        <w:t>大麻煙草查獲量最多的地區是北美洲，占2011年所有查獲量的69%。查獲最多的國家為美國及墨西哥，這兩國的查獲量達到3944噸，詳見圖2。而美國大麻煙草的可取得性增加，主要是墨西哥的大量生產以及美國境內種植的增加。查獲量第二多的地區為拉丁美洲及加勒比海地區，查獲量最多的國家為巴西、哥倫比亞及巴拉圭，其中巴西的查獲量從2010年的155噸增加到2011年的174噸、哥倫比亞從2010年的38,876噸增加到2011年的41,291噸。</w:t>
      </w:r>
    </w:p>
    <w:p>
      <w:pPr>
        <w:spacing w:line="240" w:lineRule="auto"/>
        <w:ind w:firstLine="0" w:firstLineChars="0"/>
        <w:jc w:val="center"/>
      </w:pPr>
      <w:r>
        <w:rPr>
          <w:rFonts w:ascii="Times New Roman" w:hAnsi="Times New Roman" w:eastAsia="宋体" w:cs="Times New Roman"/>
          <w:kern w:val="2"/>
          <w:sz w:val="24"/>
          <w:szCs w:val="24"/>
          <w:lang w:val="en-US" w:eastAsia="zh-CN" w:bidi="ar-SA"/>
        </w:rPr>
        <w:pict>
          <v:group id="Group 351" o:spid="_x0000_s1027" style="position:absolute;left:0;margin-left:11.95pt;margin-top:11.6pt;height:228.35pt;width:268.4pt;rotation:0f;z-index:251659264;" coordorigin="1827,2273" coordsize="5368,4567">
            <o:lock v:ext="edit" position="f" selection="f" grouping="f" rotation="f" cropping="f" text="f" aspectratio="f"/>
            <v:shape id="Quad Arrow 352" o:spid="_x0000_s1028" type="#_x0000_t202" style="position:absolute;left:5387;top:6120;height:360;width:1500;rotation:0f;" o:ole="f" fillcolor="#FFFFFF" filled="t" o:preferrelative="t" stroked="f" coordorigin="0,0" coordsize="21600,21600">
              <v:imagedata gain="65536f" blacklevel="0f" gamma="0"/>
              <o:lock v:ext="edit" position="f" selection="f" grouping="f" rotation="f" cropping="f" text="f" aspectratio="f"/>
              <v:textbox>
                <w:txbxContent>
                  <w:p>
                    <w:pPr>
                      <w:spacing w:line="240" w:lineRule="exact"/>
                      <w:ind w:firstLine="0" w:firstLineChars="0"/>
                      <w:rPr>
                        <w:rFonts w:ascii="PMingLiU" w:hAnsi="PMingLiU" w:eastAsia="PMingLiU"/>
                        <w:sz w:val="18"/>
                        <w:szCs w:val="18"/>
                      </w:rPr>
                    </w:pPr>
                    <w:r>
                      <w:rPr>
                        <w:rFonts w:hint="eastAsia" w:ascii="PMingLiU" w:hAnsi="PMingLiU" w:eastAsia="PMingLiU"/>
                        <w:sz w:val="18"/>
                        <w:szCs w:val="18"/>
                      </w:rPr>
                      <w:t>墨西哥</w:t>
                    </w:r>
                  </w:p>
                  <w:p>
                    <w:pPr>
                      <w:spacing w:line="240" w:lineRule="exact"/>
                      <w:ind w:firstLine="0" w:firstLineChars="0"/>
                    </w:pPr>
                  </w:p>
                </w:txbxContent>
              </v:textbox>
            </v:shape>
            <v:shape id="Quad Arrow 353" o:spid="_x0000_s1029" type="#_x0000_t202" style="position:absolute;left:5387;top:6480;height:360;width:1808;rotation:0f;" o:ole="f" fillcolor="#FFFFFF" filled="t" o:preferrelative="t" stroked="f" coordorigin="0,0" coordsize="21600,21600">
              <v:imagedata gain="65536f" blacklevel="0f" gamma="0"/>
              <o:lock v:ext="edit" position="f" selection="f" grouping="f" rotation="f" cropping="f" text="f" aspectratio="f"/>
              <v:textbox>
                <w:txbxContent>
                  <w:p>
                    <w:pPr>
                      <w:spacing w:line="240" w:lineRule="exact"/>
                      <w:ind w:firstLine="0" w:firstLineChars="0"/>
                      <w:rPr>
                        <w:rFonts w:ascii="PMingLiU" w:hAnsi="PMingLiU" w:eastAsia="PMingLiU"/>
                        <w:sz w:val="18"/>
                        <w:szCs w:val="18"/>
                      </w:rPr>
                    </w:pPr>
                    <w:r>
                      <w:rPr>
                        <w:rFonts w:hint="eastAsia" w:ascii="PMingLiU" w:hAnsi="PMingLiU" w:eastAsia="PMingLiU"/>
                        <w:sz w:val="18"/>
                        <w:szCs w:val="18"/>
                      </w:rPr>
                      <w:t>美國</w:t>
                    </w:r>
                  </w:p>
                  <w:p>
                    <w:pPr>
                      <w:spacing w:line="240" w:lineRule="exact"/>
                      <w:ind w:firstLine="0" w:firstLineChars="0"/>
                    </w:pPr>
                  </w:p>
                </w:txbxContent>
              </v:textbox>
            </v:shape>
            <v:shape id="Quad Arrow 354" o:spid="_x0000_s1030" type="#_x0000_t202" style="position:absolute;left:1827;top:2273;height:3905;width:818;rotation:0f;" o:ole="f" fillcolor="#FFFFFF" filled="t" o:preferrelative="t" stroked="f" coordorigin="0,0" coordsize="21600,21600">
              <v:imagedata gain="65536f" blacklevel="0f" gamma="0"/>
              <o:lock v:ext="edit" position="f" selection="f" grouping="f" rotation="f" cropping="f" text="f" aspectratio="f"/>
              <v:textbox style="layout-flow:vertical-ideographic;">
                <w:txbxContent>
                  <w:p>
                    <w:pPr>
                      <w:ind w:right="1120" w:firstLine="560"/>
                      <w:rPr>
                        <w:sz w:val="22"/>
                        <w:szCs w:val="22"/>
                      </w:rPr>
                    </w:pPr>
                    <w:r>
                      <w:rPr>
                        <w:sz w:val="28"/>
                        <w:szCs w:val="28"/>
                      </w:rPr>
                      <w:t xml:space="preserve">       </w:t>
                    </w:r>
                    <w:r>
                      <w:rPr>
                        <w:rFonts w:hint="eastAsia"/>
                        <w:sz w:val="22"/>
                        <w:szCs w:val="22"/>
                      </w:rPr>
                      <w:t>單位：噸</w:t>
                    </w:r>
                  </w:p>
                </w:txbxContent>
              </v:textbox>
            </v:shape>
          </v:group>
        </w:pict>
      </w:r>
      <w:r>
        <w:rPr>
          <w:rFonts w:hint="eastAsia" w:ascii="Times New Roman" w:hAnsi="Times New Roman" w:eastAsia="宋体" w:cs="Times New Roman"/>
          <w:kern w:val="2"/>
          <w:sz w:val="24"/>
          <w:szCs w:val="24"/>
          <w:lang w:val="en-US" w:eastAsia="zh-CN" w:bidi="ar-SA"/>
        </w:rPr>
        <w:pict>
          <v:shape id="图片 2" o:spid="_x0000_s1031" type="#_x0000_t75" style="height:239.25pt;width:351.7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pacing w:line="240" w:lineRule="auto"/>
        <w:ind w:firstLine="440"/>
        <w:rPr>
          <w:rFonts w:hint="eastAsia" w:ascii="宋体" w:hAnsi="宋体" w:eastAsia="宋体" w:cs="宋体"/>
          <w:sz w:val="21"/>
          <w:szCs w:val="21"/>
        </w:rPr>
      </w:pPr>
      <w:r>
        <w:rPr>
          <w:rFonts w:hint="eastAsia" w:ascii="宋体" w:hAnsi="宋体" w:eastAsia="宋体" w:cs="宋体"/>
          <w:sz w:val="21"/>
          <w:szCs w:val="21"/>
        </w:rPr>
        <w:t xml:space="preserve">資料來源：UNODC (2013). </w:t>
      </w:r>
      <w:r>
        <w:rPr>
          <w:rFonts w:hint="eastAsia" w:ascii="宋体" w:hAnsi="宋体" w:eastAsia="宋体" w:cs="宋体"/>
          <w:i/>
          <w:sz w:val="21"/>
          <w:szCs w:val="21"/>
        </w:rPr>
        <w:t>World Drug Report 2013</w:t>
      </w:r>
      <w:r>
        <w:rPr>
          <w:rFonts w:hint="eastAsia" w:ascii="宋体" w:hAnsi="宋体" w:eastAsia="宋体" w:cs="宋体"/>
          <w:sz w:val="21"/>
          <w:szCs w:val="21"/>
        </w:rPr>
        <w:t>.</w:t>
      </w:r>
    </w:p>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圖2  美國及墨西哥近10年大麻煙草查獲量</w:t>
      </w:r>
    </w:p>
    <w:p>
      <w:pPr>
        <w:spacing w:line="240" w:lineRule="auto"/>
        <w:ind w:firstLine="440"/>
        <w:jc w:val="center"/>
        <w:rPr>
          <w:rFonts w:eastAsia="PMingLiU"/>
          <w:sz w:val="22"/>
          <w:szCs w:val="22"/>
        </w:rPr>
      </w:pPr>
    </w:p>
    <w:p>
      <w:pPr>
        <w:ind w:firstLine="480"/>
        <w:rPr>
          <w:rFonts w:hint="eastAsia" w:ascii="宋体" w:hAnsi="宋体" w:eastAsia="宋体" w:cs="宋体"/>
        </w:rPr>
      </w:pPr>
      <w:r>
        <w:rPr>
          <w:rFonts w:hint="eastAsia" w:ascii="宋体" w:hAnsi="宋体" w:eastAsia="宋体" w:cs="宋体"/>
        </w:rPr>
        <w:t>在歐洲地區，大麻脂的查獲量從2010年的566噸減少為2011年的503噸，主要是因為西班牙、葡萄牙及土耳其查獲量的減少；而大麻煙草的查獲量則從2010年的164噸增加到2011年的184噸，增長率為12%。歐洲近10年查獲情形如圖3。在非洲，大麻煙草查獲量最多的國家為奈及利亞，埃及次之，而莫三比克及布吉納法索的查獲量都有所增加。近10年大麻脂全球查獲情形如圖4。</w:t>
      </w:r>
    </w:p>
    <w:p>
      <w:pPr>
        <w:ind w:firstLine="480"/>
        <w:rPr>
          <w:rFonts w:hint="eastAsia" w:ascii="宋体" w:hAnsi="宋体" w:eastAsia="宋体" w:cs="宋体"/>
        </w:rPr>
      </w:pPr>
      <w:r>
        <w:rPr>
          <w:rFonts w:hint="eastAsia" w:ascii="宋体" w:hAnsi="宋体" w:eastAsia="宋体" w:cs="宋体"/>
        </w:rPr>
        <w:t>全球大麻脂查獲量的分布，反映了主要來源的國家。2000到2011年這段期間，全球查獲量最多的國家都是西班牙，因為其作為經由歐洲取得摩洛哥大麻之的入口。2011年，西班牙占了34%的大麻脂查獲量，巴基斯坦18%次之，接著是摩洛哥的12%。阿富汗跟摩洛哥是大麻脂主要的來源國。西班牙的查獲量連續三年減少，從2009年的445噸、2010年的384噸到2011年的356噸；而摩洛哥的查獲量也從2010年的126噸減少到2011年的119噸（UNODC, 2013）。</w:t>
      </w:r>
    </w:p>
    <w:p>
      <w:pPr>
        <w:spacing w:line="240" w:lineRule="auto"/>
        <w:ind w:firstLine="440"/>
        <w:rPr>
          <w:rFonts w:eastAsia="PMingLiU"/>
          <w:sz w:val="22"/>
          <w:szCs w:val="22"/>
        </w:rPr>
      </w:pPr>
    </w:p>
    <w:p>
      <w:pPr>
        <w:spacing w:line="240" w:lineRule="auto"/>
        <w:ind w:firstLine="0" w:firstLineChars="0"/>
        <w:jc w:val="center"/>
      </w:pPr>
      <w:r>
        <w:rPr>
          <w:rFonts w:ascii="Times New Roman" w:hAnsi="Times New Roman" w:eastAsia="宋体" w:cs="Times New Roman"/>
          <w:kern w:val="2"/>
          <w:sz w:val="24"/>
          <w:szCs w:val="24"/>
          <w:lang w:val="en-US" w:eastAsia="zh-CN" w:bidi="ar-SA"/>
        </w:rPr>
        <w:pict>
          <v:group id="Group 357" o:spid="_x0000_s1032" style="position:absolute;left:0;margin-left:27.55pt;margin-top:4.75pt;height:219.95pt;width:312.35pt;rotation:0f;z-index:251662336;" coordorigin="1493,2136" coordsize="6247,4399">
            <o:lock v:ext="edit" position="f" selection="f" grouping="f" rotation="f" cropping="f" text="f" aspectratio="f"/>
            <v:shape id="Quad Arrow 358" o:spid="_x0000_s1033" type="#_x0000_t202" style="position:absolute;left:2787;top:5965;height:553;width:1233;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ind w:firstLine="400"/>
                      <w:rPr>
                        <w:sz w:val="20"/>
                      </w:rPr>
                    </w:pPr>
                    <w:r>
                      <w:rPr>
                        <w:rFonts w:hint="eastAsia"/>
                        <w:sz w:val="20"/>
                      </w:rPr>
                      <w:t>大麻脂</w:t>
                    </w:r>
                  </w:p>
                </w:txbxContent>
              </v:textbox>
            </v:shape>
            <v:shape id="Quad Arrow 359" o:spid="_x0000_s1034" type="#_x0000_t202" style="position:absolute;left:6507;top:5982;height:553;width:1233;rotation:0f;" o:ole="f" fillcolor="#FFFFFF" filled="f" o:preferrelative="t" stroked="f" coordorigin="0,0" coordsize="21600,21600">
              <v:fill on="f" color2="#FFFFFF" focus="0%"/>
              <v:imagedata gain="65536f" blacklevel="0f" gamma="0"/>
              <o:lock v:ext="edit" position="f" selection="f" grouping="f" rotation="f" cropping="f" text="f" aspectratio="f"/>
              <v:textbox>
                <w:txbxContent>
                  <w:p>
                    <w:pPr>
                      <w:ind w:firstLine="400"/>
                      <w:rPr>
                        <w:sz w:val="20"/>
                      </w:rPr>
                    </w:pPr>
                    <w:r>
                      <w:rPr>
                        <w:rFonts w:hint="eastAsia"/>
                        <w:sz w:val="20"/>
                      </w:rPr>
                      <w:t>大麻煙草</w:t>
                    </w:r>
                  </w:p>
                </w:txbxContent>
              </v:textbox>
            </v:shape>
            <v:shape id="Quad Arrow 360" o:spid="_x0000_s1035" type="#_x0000_t202" style="position:absolute;left:1493;top:2136;height:3905;width:818;rotation:0f;"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ind w:right="1120" w:firstLine="560"/>
                      <w:rPr>
                        <w:sz w:val="22"/>
                        <w:szCs w:val="22"/>
                      </w:rPr>
                    </w:pPr>
                    <w:r>
                      <w:rPr>
                        <w:sz w:val="28"/>
                        <w:szCs w:val="28"/>
                      </w:rPr>
                      <w:t xml:space="preserve">       </w:t>
                    </w:r>
                    <w:r>
                      <w:rPr>
                        <w:rFonts w:hint="eastAsia"/>
                        <w:sz w:val="22"/>
                        <w:szCs w:val="22"/>
                      </w:rPr>
                      <w:t>單位：噸</w:t>
                    </w:r>
                  </w:p>
                </w:txbxContent>
              </v:textbox>
            </v:shape>
          </v:group>
        </w:pict>
      </w:r>
      <w:r>
        <w:rPr>
          <w:rFonts w:hint="eastAsia" w:ascii="Times New Roman" w:hAnsi="Times New Roman" w:eastAsia="宋体" w:cs="Times New Roman"/>
          <w:kern w:val="2"/>
          <w:sz w:val="24"/>
          <w:szCs w:val="24"/>
          <w:lang w:val="en-US" w:eastAsia="zh-CN" w:bidi="ar-SA"/>
        </w:rPr>
        <w:pict>
          <v:shape id="图片 3" o:spid="_x0000_s1036" type="#_x0000_t75" style="height:218.25pt;width:357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pacing w:line="240" w:lineRule="auto"/>
        <w:ind w:firstLine="400"/>
        <w:rPr>
          <w:rFonts w:hAnsi="PMingLiU" w:eastAsia="PMingLiU"/>
          <w:sz w:val="20"/>
        </w:rPr>
      </w:pPr>
    </w:p>
    <w:p>
      <w:pPr>
        <w:spacing w:line="240" w:lineRule="auto"/>
        <w:ind w:firstLine="400"/>
        <w:rPr>
          <w:rFonts w:hint="eastAsia" w:ascii="宋体" w:hAnsi="宋体" w:eastAsia="宋体" w:cs="宋体"/>
          <w:sz w:val="21"/>
          <w:szCs w:val="21"/>
        </w:rPr>
      </w:pPr>
      <w:r>
        <w:rPr>
          <w:rFonts w:hint="eastAsia" w:ascii="宋体" w:hAnsi="宋体" w:eastAsia="宋体" w:cs="宋体"/>
          <w:sz w:val="21"/>
          <w:szCs w:val="21"/>
        </w:rPr>
        <w:t xml:space="preserve">資料來源：UNODC (2013). </w:t>
      </w:r>
      <w:r>
        <w:rPr>
          <w:rFonts w:hint="eastAsia" w:ascii="宋体" w:hAnsi="宋体" w:eastAsia="宋体" w:cs="宋体"/>
          <w:i/>
          <w:sz w:val="21"/>
          <w:szCs w:val="21"/>
        </w:rPr>
        <w:t>World Drug Report 2013</w:t>
      </w:r>
      <w:r>
        <w:rPr>
          <w:rFonts w:hint="eastAsia" w:ascii="宋体" w:hAnsi="宋体" w:eastAsia="宋体" w:cs="宋体"/>
          <w:sz w:val="21"/>
          <w:szCs w:val="21"/>
        </w:rPr>
        <w:t>.</w:t>
      </w:r>
    </w:p>
    <w:p>
      <w:pPr>
        <w:ind w:left="0" w:leftChars="0" w:firstLine="0" w:firstLineChars="0"/>
        <w:jc w:val="center"/>
      </w:pPr>
      <w:r>
        <w:rPr>
          <w:rFonts w:hint="eastAsia" w:ascii="宋体" w:hAnsi="宋体" w:eastAsia="宋体" w:cs="宋体"/>
          <w:sz w:val="21"/>
          <w:szCs w:val="21"/>
        </w:rPr>
        <w:t>圖3  歐洲近10年大麻脂及大麻煙草查獲量</w:t>
      </w:r>
    </w:p>
    <w:p>
      <w:pPr>
        <w:spacing w:line="240" w:lineRule="auto"/>
        <w:ind w:firstLine="480"/>
        <w:jc w:val="center"/>
      </w:pPr>
    </w:p>
    <w:p>
      <w:pPr>
        <w:spacing w:line="240" w:lineRule="auto"/>
        <w:ind w:firstLine="0" w:firstLineChars="0"/>
        <w:jc w:val="center"/>
      </w:pPr>
      <w:r>
        <w:rPr>
          <w:rFonts w:ascii="Times New Roman" w:hAnsi="Times New Roman" w:eastAsia="宋体" w:cs="Times New Roman"/>
          <w:kern w:val="2"/>
          <w:sz w:val="24"/>
          <w:szCs w:val="24"/>
          <w:lang w:val="en-US" w:eastAsia="zh-CN" w:bidi="ar-SA"/>
        </w:rPr>
        <w:pict>
          <v:shape id="Quad Arrow 355" o:spid="_x0000_s1037" type="#_x0000_t202" style="position:absolute;left:0;margin-left:31.1pt;margin-top:4.3pt;height:184.35pt;width:46.65pt;rotation:0f;z-index:251660288;" o:ole="f" fillcolor="#FFFFFF" filled="t" o:preferrelative="t" stroked="f" coordorigin="0,0" coordsize="21600,21600">
            <v:imagedata gain="65536f" blacklevel="0f" gamma="0"/>
            <o:lock v:ext="edit" position="f" selection="f" grouping="f" rotation="f" cropping="f" text="f" aspectratio="f"/>
            <v:textbox style="layout-flow:vertical-ideographic;">
              <w:txbxContent>
                <w:p>
                  <w:pPr>
                    <w:ind w:firstLine="440"/>
                    <w:jc w:val="center"/>
                    <w:rPr>
                      <w:sz w:val="22"/>
                      <w:szCs w:val="22"/>
                    </w:rPr>
                  </w:pPr>
                  <w:r>
                    <w:rPr>
                      <w:rFonts w:hint="eastAsia"/>
                      <w:sz w:val="22"/>
                      <w:szCs w:val="22"/>
                    </w:rPr>
                    <w:t>單位：噸</w:t>
                  </w:r>
                </w:p>
              </w:txbxContent>
            </v:textbox>
          </v:shape>
        </w:pict>
      </w:r>
      <w:r>
        <w:rPr>
          <w:rFonts w:ascii="Times New Roman" w:hAnsi="Times New Roman" w:eastAsia="宋体" w:cs="Times New Roman"/>
          <w:kern w:val="2"/>
          <w:sz w:val="24"/>
          <w:szCs w:val="24"/>
          <w:lang w:val="en-US" w:eastAsia="zh-CN" w:bidi="ar-SA"/>
        </w:rPr>
        <w:pict>
          <v:shape id="Quad Arrow 356" o:spid="_x0000_s1038" type="#_x0000_t202" style="position:absolute;left:0;margin-left:171.3pt;margin-top:167.95pt;height:78.85pt;width:60.5pt;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w:txbxContent>
                <w:p>
                  <w:pPr>
                    <w:spacing w:before="97" w:beforeLines="30" w:line="0" w:lineRule="atLeast"/>
                    <w:ind w:firstLine="300"/>
                    <w:rPr>
                      <w:sz w:val="15"/>
                      <w:szCs w:val="15"/>
                    </w:rPr>
                  </w:pPr>
                  <w:r>
                    <w:rPr>
                      <w:rFonts w:hint="eastAsia"/>
                      <w:sz w:val="15"/>
                      <w:szCs w:val="15"/>
                    </w:rPr>
                    <w:t>阿富汗</w:t>
                  </w:r>
                </w:p>
                <w:p>
                  <w:pPr>
                    <w:spacing w:line="0" w:lineRule="atLeast"/>
                    <w:ind w:firstLine="300"/>
                    <w:rPr>
                      <w:sz w:val="15"/>
                      <w:szCs w:val="15"/>
                    </w:rPr>
                  </w:pPr>
                  <w:r>
                    <w:rPr>
                      <w:rFonts w:hint="eastAsia"/>
                      <w:sz w:val="15"/>
                      <w:szCs w:val="15"/>
                    </w:rPr>
                    <w:t>伊朗</w:t>
                  </w:r>
                </w:p>
                <w:p>
                  <w:pPr>
                    <w:spacing w:line="0" w:lineRule="atLeast"/>
                    <w:ind w:firstLine="300"/>
                    <w:rPr>
                      <w:sz w:val="15"/>
                      <w:szCs w:val="15"/>
                    </w:rPr>
                  </w:pPr>
                  <w:r>
                    <w:rPr>
                      <w:rFonts w:hint="eastAsia"/>
                      <w:sz w:val="15"/>
                      <w:szCs w:val="15"/>
                    </w:rPr>
                    <w:t>摩洛哥</w:t>
                  </w:r>
                </w:p>
                <w:p>
                  <w:pPr>
                    <w:spacing w:line="0" w:lineRule="atLeast"/>
                    <w:ind w:firstLine="300"/>
                    <w:rPr>
                      <w:sz w:val="15"/>
                      <w:szCs w:val="15"/>
                    </w:rPr>
                  </w:pPr>
                  <w:r>
                    <w:rPr>
                      <w:rFonts w:hint="eastAsia"/>
                      <w:sz w:val="15"/>
                      <w:szCs w:val="15"/>
                    </w:rPr>
                    <w:t>巴基斯坦</w:t>
                  </w:r>
                </w:p>
                <w:p>
                  <w:pPr>
                    <w:spacing w:line="0" w:lineRule="atLeast"/>
                    <w:ind w:firstLine="300"/>
                    <w:rPr>
                      <w:sz w:val="15"/>
                      <w:szCs w:val="15"/>
                    </w:rPr>
                  </w:pPr>
                  <w:r>
                    <w:rPr>
                      <w:rFonts w:hint="eastAsia"/>
                      <w:sz w:val="15"/>
                      <w:szCs w:val="15"/>
                    </w:rPr>
                    <w:t>西班牙</w:t>
                  </w:r>
                </w:p>
                <w:p>
                  <w:pPr>
                    <w:spacing w:line="0" w:lineRule="atLeast"/>
                    <w:ind w:firstLine="300"/>
                    <w:rPr>
                      <w:sz w:val="14"/>
                      <w:szCs w:val="14"/>
                    </w:rPr>
                  </w:pPr>
                  <w:r>
                    <w:rPr>
                      <w:rFonts w:hint="eastAsia"/>
                      <w:sz w:val="15"/>
                      <w:szCs w:val="15"/>
                    </w:rPr>
                    <w:t>全球總量</w:t>
                  </w:r>
                </w:p>
              </w:txbxContent>
            </v:textbox>
          </v:shape>
        </w:pict>
      </w:r>
      <w:r>
        <w:rPr>
          <w:rFonts w:hint="eastAsia" w:ascii="Times New Roman" w:hAnsi="Times New Roman" w:eastAsia="宋体" w:cs="Times New Roman"/>
          <w:kern w:val="2"/>
          <w:sz w:val="24"/>
          <w:szCs w:val="24"/>
          <w:lang w:val="en-US" w:eastAsia="zh-CN" w:bidi="ar-SA"/>
        </w:rPr>
        <w:pict>
          <v:shape id="图片 4" o:spid="_x0000_s1039" type="#_x0000_t75" style="height:237pt;width:375.7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pacing w:line="240" w:lineRule="auto"/>
        <w:ind w:firstLine="440"/>
        <w:rPr>
          <w:rFonts w:hAnsi="MingLiU" w:eastAsia="MingLiU"/>
          <w:sz w:val="22"/>
          <w:szCs w:val="22"/>
        </w:rPr>
      </w:pPr>
    </w:p>
    <w:p>
      <w:pPr>
        <w:spacing w:line="240" w:lineRule="auto"/>
        <w:ind w:firstLine="440"/>
        <w:rPr>
          <w:rFonts w:hint="eastAsia" w:ascii="宋体" w:hAnsi="宋体" w:eastAsia="宋体" w:cs="宋体"/>
          <w:sz w:val="21"/>
          <w:szCs w:val="21"/>
        </w:rPr>
      </w:pPr>
      <w:r>
        <w:rPr>
          <w:rFonts w:hint="eastAsia" w:ascii="宋体" w:hAnsi="宋体" w:eastAsia="宋体" w:cs="宋体"/>
          <w:sz w:val="21"/>
          <w:szCs w:val="21"/>
        </w:rPr>
        <w:t xml:space="preserve">資料來源：UNODC (2013). </w:t>
      </w:r>
      <w:r>
        <w:rPr>
          <w:rFonts w:hint="eastAsia" w:ascii="宋体" w:hAnsi="宋体" w:eastAsia="宋体" w:cs="宋体"/>
          <w:i/>
          <w:sz w:val="21"/>
          <w:szCs w:val="21"/>
        </w:rPr>
        <w:t>World Drug Report 2013</w:t>
      </w:r>
      <w:r>
        <w:rPr>
          <w:rFonts w:hint="eastAsia" w:ascii="宋体" w:hAnsi="宋体" w:eastAsia="宋体" w:cs="宋体"/>
          <w:sz w:val="21"/>
          <w:szCs w:val="21"/>
        </w:rPr>
        <w:t>.</w:t>
      </w:r>
    </w:p>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圖4  近10年大麻脂全球查獲量</w:t>
      </w:r>
    </w:p>
    <w:p>
      <w:pPr>
        <w:spacing w:line="240" w:lineRule="auto"/>
        <w:ind w:firstLine="440"/>
        <w:jc w:val="center"/>
        <w:rPr>
          <w:rFonts w:eastAsia="MingLiU"/>
          <w:sz w:val="22"/>
          <w:szCs w:val="22"/>
        </w:rPr>
      </w:pPr>
    </w:p>
    <w:p>
      <w:pPr>
        <w:ind w:firstLine="480"/>
      </w:pPr>
      <w:r>
        <w:rPr>
          <w:rFonts w:hint="eastAsia" w:ascii="宋体" w:hAnsi="宋体" w:eastAsia="宋体" w:cs="宋体"/>
        </w:rPr>
        <w:t>與大麻脂相較，大麻菸草的生產相對簡單，大麻菸草的生產及消費地區是相當分散的，幾乎遍及世界各地，出現在許多國家或地區。儘管已經有國際販運路線及組織性販運集團的特徵，但大麻煙草多數是屬於地區性的販運（locally trafficked）。大麻煙草的販運大部分是透過陸路運輸，其次是海運。許多大麻煙草販運網絡常與其他種類毒品販運活動結合，例如有些來自西非的犯罪集團由大麻煙草販運起家，後來也販運鴉片類麻醉毒品（從西南亞或東南亞至歐洲和北美）及古柯鹼（從南美至歐洲）。</w:t>
      </w:r>
    </w:p>
    <w:p>
      <w:pPr>
        <w:ind w:firstLine="480"/>
        <w:rPr>
          <w:rFonts w:hint="eastAsia" w:ascii="宋体" w:hAnsi="宋体" w:eastAsia="宋体" w:cs="宋体"/>
        </w:rPr>
      </w:pPr>
      <w:r>
        <w:rPr>
          <w:rFonts w:hint="eastAsia" w:ascii="宋体" w:hAnsi="宋体" w:eastAsia="宋体" w:cs="宋体"/>
        </w:rPr>
        <w:t>大麻脂的生產較為集中，僅限於少數幾個國家，這些國家主要位於北非、近東和中東以及西南亞：摩洛哥、阿富汗、巴基斯坦及中亞，販運活動主要發生在這些國家的周邊以及至歐洲。大麻脂的的消費地區也較集中，主要是在歐洲。歐洲是全球最大的大麻脂市場，長期以來北非，尤其是摩洛哥是其主要供應區，但近期數據顯示，該來源國的相對重要性可能在下降，而阿富汗和印度等其他國家的相對重要性卻在上升。大麻脂的販運大多數是經由陸路，其次經海路（UNODC, 2013）。大麻類毒品的區域特徵及販運模式，如表5。</w:t>
      </w:r>
    </w:p>
    <w:p>
      <w:pPr>
        <w:spacing w:line="240" w:lineRule="auto"/>
        <w:ind w:firstLine="440"/>
        <w:rPr>
          <w:rFonts w:eastAsia="MingLiU"/>
          <w:sz w:val="22"/>
          <w:szCs w:val="22"/>
        </w:rPr>
      </w:pPr>
    </w:p>
    <w:p>
      <w:pPr>
        <w:spacing w:line="240" w:lineRule="auto"/>
        <w:ind w:firstLine="442"/>
        <w:jc w:val="center"/>
        <w:rPr>
          <w:rFonts w:hAnsi="MingLiU"/>
          <w:b/>
          <w:sz w:val="22"/>
          <w:szCs w:val="22"/>
        </w:rPr>
      </w:pPr>
    </w:p>
    <w:p>
      <w:pPr>
        <w:spacing w:line="240" w:lineRule="auto"/>
        <w:ind w:firstLine="442"/>
        <w:jc w:val="center"/>
        <w:rPr>
          <w:rFonts w:hAnsi="MingLiU"/>
          <w:b/>
          <w:sz w:val="22"/>
          <w:szCs w:val="22"/>
        </w:rPr>
      </w:pPr>
    </w:p>
    <w:p>
      <w:pPr>
        <w:widowControl/>
        <w:spacing w:line="240" w:lineRule="auto"/>
        <w:ind w:firstLine="0" w:firstLineChars="0"/>
        <w:jc w:val="left"/>
        <w:rPr>
          <w:rFonts w:hAnsi="MingLiU"/>
          <w:b/>
          <w:sz w:val="22"/>
          <w:szCs w:val="22"/>
        </w:rPr>
      </w:pPr>
      <w:r>
        <w:rPr>
          <w:rFonts w:hAnsi="MingLiU"/>
          <w:b/>
          <w:sz w:val="22"/>
          <w:szCs w:val="22"/>
        </w:rPr>
        <w:br w:type="page"/>
      </w:r>
    </w:p>
    <w:p>
      <w:pPr>
        <w:ind w:firstLine="480"/>
        <w:jc w:val="center"/>
      </w:pPr>
      <w:r>
        <w:rPr>
          <w:rFonts w:hint="eastAsia" w:ascii="宋体" w:hAnsi="宋体" w:eastAsia="宋体" w:cs="宋体"/>
          <w:sz w:val="21"/>
          <w:szCs w:val="21"/>
        </w:rPr>
        <w:t>表5 大麻類毒品的區域特徵及販運模式</w:t>
      </w:r>
    </w:p>
    <w:tbl>
      <w:tblPr>
        <w:tblStyle w:val="46"/>
        <w:tblW w:w="9735" w:type="dxa"/>
        <w:jc w:val="center"/>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15"/>
        <w:gridCol w:w="1800"/>
        <w:gridCol w:w="3600"/>
        <w:gridCol w:w="3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891" w:hRule="atLeast"/>
          <w:jc w:val="center"/>
        </w:trPr>
        <w:tc>
          <w:tcPr>
            <w:tcW w:w="915"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ind w:firstLine="0" w:firstLineChars="0"/>
              <w:jc w:val="center"/>
              <w:rPr>
                <w:rFonts w:ascii="宋体" w:hAnsi="宋体" w:eastAsia="宋体"/>
                <w:b/>
                <w:sz w:val="21"/>
                <w:szCs w:val="21"/>
              </w:rPr>
            </w:pPr>
            <w:r>
              <w:rPr>
                <w:rFonts w:ascii="宋体" w:hAnsi="宋体" w:eastAsia="宋体"/>
                <w:b/>
                <w:sz w:val="21"/>
                <w:szCs w:val="21"/>
              </w:rPr>
              <w:t>毒品</w:t>
            </w:r>
          </w:p>
          <w:p>
            <w:pPr>
              <w:widowControl/>
              <w:ind w:firstLine="0" w:firstLineChars="0"/>
              <w:jc w:val="center"/>
              <w:rPr>
                <w:rFonts w:ascii="宋体" w:hAnsi="宋体" w:eastAsia="宋体"/>
                <w:b/>
                <w:sz w:val="21"/>
                <w:szCs w:val="21"/>
              </w:rPr>
            </w:pPr>
            <w:r>
              <w:rPr>
                <w:rFonts w:ascii="宋体" w:hAnsi="宋体" w:eastAsia="宋体"/>
                <w:b/>
                <w:sz w:val="21"/>
                <w:szCs w:val="21"/>
              </w:rPr>
              <w:t>種類</w:t>
            </w:r>
          </w:p>
        </w:tc>
        <w:tc>
          <w:tcPr>
            <w:tcW w:w="1800" w:type="dxa"/>
            <w:tcBorders>
              <w:top w:val="single" w:color="auto" w:sz="4" w:space="0"/>
              <w:left w:val="single" w:color="auto" w:sz="4" w:space="0"/>
              <w:bottom w:val="single" w:color="auto" w:sz="4" w:space="0"/>
              <w:right w:val="single" w:color="auto" w:sz="4" w:space="0"/>
            </w:tcBorders>
            <w:shd w:val="clear" w:color="auto" w:fill="E6E6E6"/>
            <w:vAlign w:val="center"/>
          </w:tcPr>
          <w:p>
            <w:pPr>
              <w:ind w:firstLine="0" w:firstLineChars="0"/>
              <w:jc w:val="center"/>
              <w:rPr>
                <w:rFonts w:ascii="宋体" w:hAnsi="宋体" w:eastAsia="宋体"/>
                <w:b/>
                <w:sz w:val="21"/>
                <w:szCs w:val="21"/>
              </w:rPr>
            </w:pPr>
            <w:r>
              <w:rPr>
                <w:rFonts w:ascii="宋体" w:hAnsi="宋体" w:eastAsia="宋体"/>
                <w:b/>
                <w:sz w:val="21"/>
                <w:szCs w:val="21"/>
              </w:rPr>
              <w:t>施用人數</w:t>
            </w:r>
          </w:p>
        </w:tc>
        <w:tc>
          <w:tcPr>
            <w:tcW w:w="360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ind w:firstLine="0" w:firstLineChars="0"/>
              <w:jc w:val="center"/>
              <w:rPr>
                <w:rFonts w:ascii="宋体" w:hAnsi="宋体" w:eastAsia="宋体"/>
                <w:b/>
                <w:sz w:val="21"/>
                <w:szCs w:val="21"/>
              </w:rPr>
            </w:pPr>
            <w:r>
              <w:rPr>
                <w:rFonts w:ascii="宋体" w:hAnsi="宋体" w:eastAsia="宋体"/>
                <w:b/>
                <w:sz w:val="21"/>
                <w:szCs w:val="21"/>
              </w:rPr>
              <w:t>查獲地區</w:t>
            </w:r>
          </w:p>
        </w:tc>
        <w:tc>
          <w:tcPr>
            <w:tcW w:w="342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ind w:firstLine="0" w:firstLineChars="0"/>
              <w:jc w:val="center"/>
              <w:rPr>
                <w:rFonts w:ascii="宋体" w:hAnsi="宋体" w:eastAsia="宋体"/>
                <w:b/>
                <w:sz w:val="21"/>
                <w:szCs w:val="21"/>
              </w:rPr>
            </w:pPr>
            <w:r>
              <w:rPr>
                <w:rFonts w:ascii="宋体" w:hAnsi="宋体" w:eastAsia="宋体"/>
                <w:b/>
                <w:sz w:val="21"/>
                <w:szCs w:val="21"/>
              </w:rPr>
              <w:t>主要販運路線及特徵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91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ind w:right="113" w:firstLine="0" w:firstLineChars="0"/>
              <w:jc w:val="center"/>
              <w:rPr>
                <w:rFonts w:ascii="宋体" w:hAnsi="宋体" w:eastAsia="宋体"/>
                <w:sz w:val="21"/>
                <w:szCs w:val="21"/>
              </w:rPr>
            </w:pPr>
            <w:r>
              <w:rPr>
                <w:rFonts w:ascii="宋体" w:hAnsi="宋体" w:eastAsia="宋体"/>
                <w:sz w:val="21"/>
                <w:szCs w:val="21"/>
              </w:rPr>
              <w:t>大麻</w:t>
            </w:r>
          </w:p>
          <w:p>
            <w:pPr>
              <w:widowControl/>
              <w:ind w:right="113" w:firstLine="0" w:firstLineChars="0"/>
              <w:jc w:val="center"/>
              <w:rPr>
                <w:rFonts w:ascii="宋体" w:hAnsi="宋体" w:eastAsia="宋体"/>
                <w:sz w:val="21"/>
                <w:szCs w:val="21"/>
              </w:rPr>
            </w:pPr>
            <w:r>
              <w:rPr>
                <w:rFonts w:ascii="宋体" w:hAnsi="宋体" w:eastAsia="宋体"/>
                <w:sz w:val="21"/>
                <w:szCs w:val="21"/>
              </w:rPr>
              <w:t>煙草</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ind w:right="113" w:firstLine="0" w:firstLineChars="0"/>
              <w:rPr>
                <w:rFonts w:ascii="宋体" w:hAnsi="宋体" w:eastAsia="宋体"/>
                <w:sz w:val="21"/>
                <w:szCs w:val="21"/>
              </w:rPr>
            </w:pPr>
            <w:r>
              <w:rPr>
                <w:rFonts w:ascii="宋体" w:hAnsi="宋体" w:eastAsia="宋体"/>
                <w:sz w:val="21"/>
                <w:szCs w:val="21"/>
              </w:rPr>
              <w:t>1億8千零6萬人，占全球15~64歲人口的3.9％。</w:t>
            </w:r>
          </w:p>
        </w:tc>
        <w:tc>
          <w:tcPr>
            <w:tcW w:w="3600" w:type="dxa"/>
            <w:tcBorders>
              <w:top w:val="single" w:color="auto" w:sz="4" w:space="0"/>
              <w:left w:val="single" w:color="auto" w:sz="4" w:space="0"/>
              <w:bottom w:val="single" w:color="auto" w:sz="4" w:space="0"/>
              <w:right w:val="single" w:color="auto" w:sz="4" w:space="0"/>
            </w:tcBorders>
            <w:vAlign w:val="top"/>
          </w:tcPr>
          <w:p>
            <w:pPr>
              <w:widowControl/>
              <w:numPr>
                <w:ilvl w:val="0"/>
                <w:numId w:val="2"/>
              </w:numPr>
              <w:tabs>
                <w:tab w:val="clear" w:pos="360"/>
              </w:tabs>
              <w:ind w:left="250" w:firstLine="0" w:firstLineChars="0"/>
              <w:rPr>
                <w:rFonts w:ascii="宋体" w:hAnsi="宋体" w:eastAsia="宋体"/>
                <w:sz w:val="21"/>
                <w:szCs w:val="21"/>
              </w:rPr>
            </w:pPr>
            <w:r>
              <w:rPr>
                <w:rFonts w:ascii="宋体" w:hAnsi="宋体" w:eastAsia="宋体"/>
                <w:sz w:val="21"/>
                <w:szCs w:val="21"/>
              </w:rPr>
              <w:t>最多的地區是北美洲，占69%，最大查獲地是美國及墨西哥。</w:t>
            </w:r>
          </w:p>
          <w:p>
            <w:pPr>
              <w:widowControl/>
              <w:numPr>
                <w:ilvl w:val="0"/>
                <w:numId w:val="2"/>
              </w:numPr>
              <w:tabs>
                <w:tab w:val="clear" w:pos="360"/>
              </w:tabs>
              <w:ind w:left="250" w:firstLine="0" w:firstLineChars="0"/>
              <w:rPr>
                <w:rFonts w:ascii="宋体" w:hAnsi="宋体" w:eastAsia="宋体"/>
                <w:sz w:val="21"/>
                <w:szCs w:val="21"/>
              </w:rPr>
            </w:pPr>
            <w:r>
              <w:rPr>
                <w:rFonts w:ascii="宋体" w:hAnsi="宋体" w:eastAsia="宋体"/>
                <w:sz w:val="21"/>
                <w:szCs w:val="21"/>
              </w:rPr>
              <w:t>第二多的是拉丁美洲及加勒比海地區，最大查獲地是巴西、哥倫比亞及巴拉圭。</w:t>
            </w:r>
          </w:p>
        </w:tc>
        <w:tc>
          <w:tcPr>
            <w:tcW w:w="3420" w:type="dxa"/>
            <w:tcBorders>
              <w:top w:val="single" w:color="auto" w:sz="4" w:space="0"/>
              <w:left w:val="single" w:color="auto" w:sz="4" w:space="0"/>
              <w:bottom w:val="single" w:color="auto" w:sz="4" w:space="0"/>
              <w:right w:val="single" w:color="auto" w:sz="4" w:space="0"/>
            </w:tcBorders>
            <w:vAlign w:val="top"/>
          </w:tcPr>
          <w:p>
            <w:pPr>
              <w:widowControl/>
              <w:numPr>
                <w:ilvl w:val="0"/>
                <w:numId w:val="3"/>
              </w:numPr>
              <w:tabs>
                <w:tab w:val="clear" w:pos="360"/>
              </w:tabs>
              <w:ind w:left="250" w:firstLine="0" w:firstLineChars="0"/>
              <w:rPr>
                <w:rFonts w:ascii="宋体" w:hAnsi="宋体" w:eastAsia="宋体"/>
                <w:sz w:val="21"/>
                <w:szCs w:val="21"/>
              </w:rPr>
            </w:pPr>
            <w:r>
              <w:rPr>
                <w:rFonts w:ascii="宋体" w:hAnsi="宋体" w:eastAsia="宋体"/>
                <w:sz w:val="21"/>
                <w:szCs w:val="21"/>
              </w:rPr>
              <w:t>大麻煙草的生產及消費地區相當分散，出現在許多國家或地區。</w:t>
            </w:r>
          </w:p>
          <w:p>
            <w:pPr>
              <w:widowControl/>
              <w:numPr>
                <w:ilvl w:val="0"/>
                <w:numId w:val="3"/>
              </w:numPr>
              <w:tabs>
                <w:tab w:val="clear" w:pos="360"/>
              </w:tabs>
              <w:ind w:left="250" w:firstLine="0" w:firstLineChars="0"/>
              <w:rPr>
                <w:rFonts w:ascii="宋体" w:hAnsi="宋体" w:eastAsia="宋体"/>
                <w:sz w:val="21"/>
                <w:szCs w:val="21"/>
              </w:rPr>
            </w:pPr>
            <w:r>
              <w:rPr>
                <w:rFonts w:ascii="宋体" w:hAnsi="宋体" w:eastAsia="宋体"/>
                <w:sz w:val="21"/>
                <w:szCs w:val="21"/>
              </w:rPr>
              <w:t>生產及交易遍及各地，多數在當地市場進行，屬於地區性的販運。</w:t>
            </w:r>
          </w:p>
          <w:p>
            <w:pPr>
              <w:widowControl/>
              <w:numPr>
                <w:ilvl w:val="0"/>
                <w:numId w:val="3"/>
              </w:numPr>
              <w:tabs>
                <w:tab w:val="clear" w:pos="360"/>
              </w:tabs>
              <w:ind w:left="250" w:firstLine="0" w:firstLineChars="0"/>
              <w:rPr>
                <w:rFonts w:ascii="宋体" w:hAnsi="宋体" w:eastAsia="宋体"/>
                <w:sz w:val="21"/>
                <w:szCs w:val="21"/>
              </w:rPr>
            </w:pPr>
            <w:r>
              <w:rPr>
                <w:rFonts w:ascii="宋体" w:hAnsi="宋体" w:eastAsia="宋体"/>
                <w:sz w:val="21"/>
                <w:szCs w:val="21"/>
              </w:rPr>
              <w:t>販運網絡常與其他種類毒品販運活動結合。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266" w:hRule="atLeast"/>
          <w:jc w:val="center"/>
        </w:trPr>
        <w:tc>
          <w:tcPr>
            <w:tcW w:w="915" w:type="dxa"/>
            <w:tcBorders>
              <w:top w:val="nil"/>
              <w:left w:val="single" w:color="auto" w:sz="4" w:space="0"/>
              <w:bottom w:val="single" w:color="auto" w:sz="4" w:space="0"/>
              <w:right w:val="single" w:color="auto" w:sz="4" w:space="0"/>
            </w:tcBorders>
            <w:vAlign w:val="center"/>
          </w:tcPr>
          <w:p>
            <w:pPr>
              <w:widowControl/>
              <w:ind w:right="113" w:firstLine="0" w:firstLineChars="0"/>
              <w:jc w:val="center"/>
              <w:rPr>
                <w:rFonts w:ascii="宋体" w:hAnsi="宋体" w:eastAsia="宋体"/>
                <w:sz w:val="21"/>
                <w:szCs w:val="21"/>
              </w:rPr>
            </w:pPr>
            <w:r>
              <w:rPr>
                <w:rFonts w:ascii="宋体" w:hAnsi="宋体" w:eastAsia="宋体"/>
                <w:sz w:val="21"/>
                <w:szCs w:val="21"/>
              </w:rPr>
              <w:t>大麻脂</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eastAsia="宋体"/>
                <w:sz w:val="21"/>
                <w:szCs w:val="21"/>
              </w:rPr>
            </w:pPr>
            <w:r>
              <w:rPr>
                <w:rFonts w:ascii="宋体" w:hAnsi="宋体" w:eastAsia="宋体"/>
                <w:sz w:val="21"/>
                <w:szCs w:val="21"/>
              </w:rPr>
              <w:t>1億8千零6萬人，占全球15~64歲人口的3.9％。</w:t>
            </w:r>
          </w:p>
        </w:tc>
        <w:tc>
          <w:tcPr>
            <w:tcW w:w="3600" w:type="dxa"/>
            <w:tcBorders>
              <w:top w:val="single" w:color="auto" w:sz="4" w:space="0"/>
              <w:left w:val="single" w:color="auto" w:sz="4" w:space="0"/>
              <w:bottom w:val="single" w:color="auto" w:sz="4" w:space="0"/>
              <w:right w:val="single" w:color="auto" w:sz="4" w:space="0"/>
            </w:tcBorders>
            <w:vAlign w:val="top"/>
          </w:tcPr>
          <w:p>
            <w:pPr>
              <w:widowControl/>
              <w:ind w:firstLine="0" w:firstLineChars="0"/>
              <w:rPr>
                <w:rFonts w:ascii="宋体" w:hAnsi="宋体" w:eastAsia="宋体"/>
                <w:sz w:val="21"/>
                <w:szCs w:val="21"/>
              </w:rPr>
            </w:pPr>
            <w:r>
              <w:rPr>
                <w:rFonts w:ascii="宋体" w:hAnsi="宋体" w:eastAsia="宋体"/>
                <w:sz w:val="21"/>
                <w:szCs w:val="21"/>
              </w:rPr>
              <w:t>西班牙占了34%的大麻脂查獲量，巴基斯坦18%次之，接著是摩洛哥的12%。</w:t>
            </w:r>
          </w:p>
        </w:tc>
        <w:tc>
          <w:tcPr>
            <w:tcW w:w="3420" w:type="dxa"/>
            <w:tcBorders>
              <w:top w:val="single" w:color="auto" w:sz="4" w:space="0"/>
              <w:left w:val="single" w:color="auto" w:sz="4" w:space="0"/>
              <w:bottom w:val="single" w:color="auto" w:sz="4" w:space="0"/>
              <w:right w:val="single" w:color="auto" w:sz="4" w:space="0"/>
            </w:tcBorders>
            <w:vAlign w:val="top"/>
          </w:tcPr>
          <w:p>
            <w:pPr>
              <w:widowControl/>
              <w:numPr>
                <w:ilvl w:val="0"/>
                <w:numId w:val="4"/>
              </w:numPr>
              <w:tabs>
                <w:tab w:val="clear" w:pos="360"/>
              </w:tabs>
              <w:ind w:left="250" w:firstLine="0" w:firstLineChars="0"/>
              <w:rPr>
                <w:rFonts w:ascii="宋体" w:hAnsi="宋体" w:eastAsia="宋体"/>
                <w:sz w:val="21"/>
                <w:szCs w:val="21"/>
              </w:rPr>
            </w:pPr>
            <w:r>
              <w:rPr>
                <w:rFonts w:ascii="宋体" w:hAnsi="宋体" w:eastAsia="宋体"/>
                <w:sz w:val="21"/>
                <w:szCs w:val="21"/>
              </w:rPr>
              <w:t>大麻脂的生產及消費地區較集中。</w:t>
            </w:r>
          </w:p>
          <w:p>
            <w:pPr>
              <w:widowControl/>
              <w:numPr>
                <w:ilvl w:val="0"/>
                <w:numId w:val="4"/>
              </w:numPr>
              <w:tabs>
                <w:tab w:val="clear" w:pos="360"/>
              </w:tabs>
              <w:ind w:left="250" w:firstLine="0" w:firstLineChars="0"/>
              <w:rPr>
                <w:rFonts w:ascii="宋体" w:hAnsi="宋体" w:eastAsia="宋体"/>
                <w:sz w:val="21"/>
                <w:szCs w:val="21"/>
              </w:rPr>
            </w:pPr>
            <w:r>
              <w:rPr>
                <w:rFonts w:ascii="宋体" w:hAnsi="宋体" w:eastAsia="宋体"/>
                <w:sz w:val="21"/>
                <w:szCs w:val="21"/>
              </w:rPr>
              <w:t>生產國家：摩洛哥、阿富汗、巴基斯坦及中亞，販運活動主要發生在這些國家的周邊以及至歐洲。</w:t>
            </w:r>
          </w:p>
          <w:p>
            <w:pPr>
              <w:widowControl/>
              <w:numPr>
                <w:ilvl w:val="0"/>
                <w:numId w:val="4"/>
              </w:numPr>
              <w:tabs>
                <w:tab w:val="clear" w:pos="360"/>
              </w:tabs>
              <w:ind w:left="250" w:firstLine="0" w:firstLineChars="0"/>
              <w:rPr>
                <w:rFonts w:ascii="宋体" w:hAnsi="宋体" w:eastAsia="宋体"/>
                <w:sz w:val="21"/>
                <w:szCs w:val="21"/>
              </w:rPr>
            </w:pPr>
            <w:r>
              <w:rPr>
                <w:rFonts w:ascii="宋体" w:hAnsi="宋体" w:eastAsia="宋体"/>
                <w:sz w:val="21"/>
                <w:szCs w:val="21"/>
              </w:rPr>
              <w:t>消費地區主要是中、西歐國家。</w:t>
            </w:r>
          </w:p>
        </w:tc>
      </w:tr>
    </w:tbl>
    <w:p>
      <w:pPr>
        <w:ind w:firstLine="480"/>
        <w:rPr>
          <w:rFonts w:ascii="宋体" w:hAnsi="宋体" w:eastAsia="宋体"/>
        </w:rPr>
      </w:pPr>
      <w:r>
        <w:rPr>
          <w:rFonts w:hint="eastAsia" w:ascii="宋体" w:hAnsi="宋体" w:eastAsia="宋体" w:cs="宋体"/>
          <w:sz w:val="21"/>
          <w:szCs w:val="21"/>
        </w:rPr>
        <w:t>資料來源：整理自Kethineni, S. (2010). Comparative and international policing, justice, and transnational crime. Durham, NC: Carolina Academic Press. 以及UNODC (2013). World Drug Report 2013.</w:t>
      </w:r>
      <w:r>
        <w:rPr>
          <w:rFonts w:ascii="宋体" w:hAnsi="宋体" w:eastAsia="宋体"/>
        </w:rPr>
        <w:t xml:space="preserve"> </w:t>
      </w:r>
    </w:p>
    <w:p>
      <w:pPr>
        <w:pStyle w:val="5"/>
        <w:ind w:firstLine="480"/>
      </w:pPr>
      <w:r>
        <w:t>二、古柯鹼</w:t>
      </w:r>
    </w:p>
    <w:p>
      <w:pPr>
        <w:ind w:firstLine="480"/>
      </w:pPr>
      <w:r>
        <w:rPr>
          <w:rFonts w:hint="eastAsia" w:ascii="宋体" w:hAnsi="宋体" w:eastAsia="宋体" w:cs="宋体"/>
        </w:rPr>
        <w:t>UNODC估計全球15~64歲施用古柯鹼人數約有1千7百萬人，占全球15~64歲人口的0.37%。古柯鹼市場主要在北美、西歐及中歐，這些地區的使用占了全球的一半；拉丁美洲及加勒比海、非洲地區的使用者約有620萬人，占全球使用的36%。而非洲、亞洲、大洋洲、拉丁美洲及加勒比海、東歐和東南歐的使用都有增加。在這些地區使用的增加可歸因於「溢出效應」，亦即古柯鹼的可取得性、相對較低的價格，與生產地或轉運國鄰近等因素（UNODC, 2013）。另一個改變市場的因素則是全球人口的地理分配，舉例而言，西歐、中歐及北美只占全球15-64歲人口的14%，因此這些地區以外使用率的小幅變動，就可能造成全球市場的改變。執法機關對於古柯鹼供應鏈的打擊，降低販運目的國毒品的取得性，因此查獲的部分離來源地愈來愈近。</w:t>
      </w:r>
    </w:p>
    <w:p>
      <w:pPr>
        <w:ind w:firstLine="480"/>
      </w:pPr>
      <w:r>
        <w:rPr>
          <w:rFonts w:hint="eastAsia" w:ascii="宋体" w:hAnsi="宋体" w:eastAsia="宋体" w:cs="宋体"/>
        </w:rPr>
        <w:t>世界上最大的古柯鹼查獲量仍然來自哥倫比亞（200噸）和美國（94噸）。然而，最近幾年古柯鹼市場已經轉往之前與販運或使用均無關聯的地區。亞洲、大洋洲、中美洲和南美洲及加勒比海地區均大幅度增加。在中美洲，古柯鹼販運競爭加劇導致暴力事件有所增加。在東亞地區，香港的查獲量急劇增加，從2010年的將近600公斤到2011年超過了800公斤，這跟社會中較富裕階層的出現有關。另一方面，在大洋洲，古柯鹼查獲量在2010年和2011年又創新高（從2009年的290公斤分別增加到1.9噸和1.8噸）。近10年各地查獲量詳如圖5。</w:t>
      </w:r>
    </w:p>
    <w:p>
      <w:pPr>
        <w:spacing w:line="240" w:lineRule="auto"/>
        <w:ind w:firstLine="440"/>
        <w:rPr>
          <w:rFonts w:eastAsia="MingLiU"/>
          <w:b/>
          <w:sz w:val="22"/>
          <w:szCs w:val="22"/>
        </w:rPr>
      </w:pPr>
    </w:p>
    <w:p>
      <w:pPr>
        <w:spacing w:line="240" w:lineRule="auto"/>
        <w:ind w:firstLine="480"/>
        <w:rPr>
          <w:rFonts w:eastAsia="PMingLiU"/>
        </w:rPr>
      </w:pPr>
      <w:r>
        <w:rPr>
          <w:rFonts w:ascii="Times New Roman" w:hAnsi="Times New Roman" w:eastAsia="宋体" w:cs="Times New Roman"/>
          <w:kern w:val="2"/>
          <w:sz w:val="24"/>
          <w:szCs w:val="24"/>
          <w:lang w:val="en-US" w:eastAsia="zh-CN" w:bidi="ar-SA"/>
        </w:rPr>
        <w:pict>
          <v:shape id="Quad Arrow 363" o:spid="_x0000_s1040" type="#_x0000_t202" style="position:absolute;left:0;margin-left:255pt;margin-top:183.8pt;height:62.2pt;width:78.35pt;rotation:0f;z-index:251665408;" o:ole="f" fillcolor="#FFFFFF" filled="f" o:preferrelative="t" stroked="f" coordorigin="0,0" coordsize="21600,21600">
            <v:fill on="f" color2="#FFFFFF" focus="0%"/>
            <v:imagedata gain="65536f" blacklevel="0f" gamma="0"/>
            <o:lock v:ext="edit" position="f" selection="f" grouping="f" rotation="f" cropping="f" text="f" aspectratio="f"/>
            <v:textbox>
              <w:txbxContent>
                <w:p>
                  <w:pPr>
                    <w:spacing w:line="240" w:lineRule="exact"/>
                    <w:ind w:firstLine="0" w:firstLineChars="0"/>
                    <w:rPr>
                      <w:sz w:val="20"/>
                    </w:rPr>
                  </w:pPr>
                  <w:r>
                    <w:rPr>
                      <w:rFonts w:hint="eastAsia"/>
                      <w:sz w:val="20"/>
                    </w:rPr>
                    <w:t>北美</w:t>
                  </w:r>
                </w:p>
                <w:p>
                  <w:pPr>
                    <w:spacing w:line="240" w:lineRule="exact"/>
                    <w:ind w:firstLine="0" w:firstLineChars="0"/>
                    <w:rPr>
                      <w:sz w:val="20"/>
                    </w:rPr>
                  </w:pPr>
                  <w:r>
                    <w:rPr>
                      <w:rFonts w:hint="eastAsia"/>
                      <w:sz w:val="20"/>
                    </w:rPr>
                    <w:t>中美</w:t>
                  </w:r>
                </w:p>
                <w:p>
                  <w:pPr>
                    <w:spacing w:line="240" w:lineRule="exact"/>
                    <w:ind w:firstLine="0" w:firstLineChars="0"/>
                    <w:rPr>
                      <w:sz w:val="20"/>
                    </w:rPr>
                  </w:pPr>
                  <w:r>
                    <w:rPr>
                      <w:rFonts w:hint="eastAsia"/>
                      <w:sz w:val="20"/>
                    </w:rPr>
                    <w:t>其他地區</w:t>
                  </w:r>
                </w:p>
              </w:txbxContent>
            </v:textbox>
          </v:shape>
        </w:pict>
      </w:r>
      <w:r>
        <w:rPr>
          <w:rFonts w:ascii="Times New Roman" w:hAnsi="Times New Roman" w:eastAsia="宋体" w:cs="Times New Roman"/>
          <w:kern w:val="2"/>
          <w:sz w:val="24"/>
          <w:szCs w:val="24"/>
          <w:lang w:val="en-US" w:eastAsia="zh-CN" w:bidi="ar-SA"/>
        </w:rPr>
        <w:pict>
          <v:shape id="Quad Arrow 362" o:spid="_x0000_s1041" type="#_x0000_t202" style="position:absolute;left:0;margin-left:49.85pt;margin-top:183.8pt;height:62.2pt;width:78.35pt;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w:txbxContent>
                <w:p>
                  <w:pPr>
                    <w:spacing w:line="240" w:lineRule="exact"/>
                    <w:ind w:firstLine="0" w:firstLineChars="0"/>
                    <w:rPr>
                      <w:sz w:val="20"/>
                    </w:rPr>
                  </w:pPr>
                  <w:r>
                    <w:rPr>
                      <w:rFonts w:hint="eastAsia"/>
                      <w:sz w:val="20"/>
                    </w:rPr>
                    <w:t>南美</w:t>
                  </w:r>
                </w:p>
                <w:p>
                  <w:pPr>
                    <w:spacing w:line="240" w:lineRule="exact"/>
                    <w:ind w:firstLine="0" w:firstLineChars="0"/>
                    <w:rPr>
                      <w:sz w:val="20"/>
                    </w:rPr>
                  </w:pPr>
                  <w:r>
                    <w:rPr>
                      <w:rFonts w:hint="eastAsia"/>
                      <w:sz w:val="20"/>
                    </w:rPr>
                    <w:t>西歐及中歐</w:t>
                  </w:r>
                </w:p>
                <w:p>
                  <w:pPr>
                    <w:spacing w:line="240" w:lineRule="exact"/>
                    <w:ind w:firstLine="0" w:firstLineChars="0"/>
                    <w:rPr>
                      <w:sz w:val="20"/>
                    </w:rPr>
                  </w:pPr>
                  <w:r>
                    <w:rPr>
                      <w:rFonts w:hint="eastAsia"/>
                      <w:sz w:val="20"/>
                    </w:rPr>
                    <w:t>加勒比海</w:t>
                  </w:r>
                </w:p>
              </w:txbxContent>
            </v:textbox>
          </v:shape>
        </w:pict>
      </w:r>
      <w:r>
        <w:rPr>
          <w:rFonts w:ascii="Times New Roman" w:hAnsi="Times New Roman" w:eastAsia="宋体" w:cs="Times New Roman"/>
          <w:kern w:val="2"/>
          <w:sz w:val="24"/>
          <w:szCs w:val="24"/>
          <w:lang w:val="en-US" w:eastAsia="zh-CN" w:bidi="ar-SA"/>
        </w:rPr>
        <w:pict>
          <v:shape id="Quad Arrow 361" o:spid="_x0000_s1042" type="#_x0000_t202" style="position:absolute;left:0;margin-left:-8.8pt;margin-top:47.25pt;height:152.65pt;width:46.1pt;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ind w:firstLine="440"/>
                    <w:rPr>
                      <w:sz w:val="22"/>
                      <w:szCs w:val="22"/>
                    </w:rPr>
                  </w:pPr>
                  <w:r>
                    <w:rPr>
                      <w:rFonts w:hint="eastAsia"/>
                      <w:sz w:val="22"/>
                      <w:szCs w:val="22"/>
                    </w:rPr>
                    <w:t>單位：噸</w:t>
                  </w:r>
                </w:p>
              </w:txbxContent>
            </v:textbox>
          </v:shape>
        </w:pict>
      </w:r>
      <w:r>
        <w:rPr>
          <w:rFonts w:hint="eastAsia" w:ascii="Times New Roman" w:hAnsi="Times New Roman" w:eastAsia="PMingLiU" w:cs="Times New Roman"/>
          <w:kern w:val="2"/>
          <w:sz w:val="24"/>
          <w:szCs w:val="24"/>
          <w:lang w:val="en-US" w:eastAsia="zh-CN" w:bidi="ar-SA"/>
        </w:rPr>
        <w:pict>
          <v:shape id="图片 5" o:spid="_x0000_s1043" type="#_x0000_t75" style="height:225pt;width:351.7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pacing w:line="240" w:lineRule="auto"/>
        <w:ind w:firstLine="440"/>
        <w:rPr>
          <w:rFonts w:hAnsi="MingLiU" w:eastAsia="MingLiU"/>
          <w:sz w:val="22"/>
          <w:szCs w:val="22"/>
        </w:rPr>
      </w:pPr>
    </w:p>
    <w:p>
      <w:pPr>
        <w:spacing w:line="240" w:lineRule="auto"/>
        <w:ind w:firstLine="440"/>
        <w:rPr>
          <w:rFonts w:hint="eastAsia" w:ascii="宋体" w:hAnsi="宋体" w:eastAsia="宋体" w:cs="宋体"/>
          <w:sz w:val="21"/>
          <w:szCs w:val="21"/>
        </w:rPr>
      </w:pPr>
      <w:r>
        <w:rPr>
          <w:rFonts w:hint="eastAsia" w:ascii="宋体" w:hAnsi="宋体" w:eastAsia="宋体" w:cs="宋体"/>
          <w:sz w:val="21"/>
          <w:szCs w:val="21"/>
        </w:rPr>
        <w:t xml:space="preserve">資料來源：UNODC (2013). </w:t>
      </w:r>
      <w:r>
        <w:rPr>
          <w:rFonts w:hint="eastAsia" w:ascii="宋体" w:hAnsi="宋体" w:eastAsia="宋体" w:cs="宋体"/>
          <w:i/>
          <w:sz w:val="21"/>
          <w:szCs w:val="21"/>
        </w:rPr>
        <w:t>World Drug Report 2013</w:t>
      </w:r>
      <w:r>
        <w:rPr>
          <w:rFonts w:hint="eastAsia" w:ascii="宋体" w:hAnsi="宋体" w:eastAsia="宋体" w:cs="宋体"/>
          <w:sz w:val="21"/>
          <w:szCs w:val="21"/>
        </w:rPr>
        <w:t>.</w:t>
      </w:r>
    </w:p>
    <w:p>
      <w:pPr>
        <w:ind w:left="0" w:leftChars="0" w:firstLine="0" w:firstLineChars="0"/>
        <w:jc w:val="center"/>
      </w:pPr>
      <w:r>
        <w:rPr>
          <w:rFonts w:hint="eastAsia" w:ascii="宋体" w:hAnsi="宋体" w:eastAsia="宋体" w:cs="宋体"/>
          <w:sz w:val="21"/>
          <w:szCs w:val="21"/>
        </w:rPr>
        <w:t>圖5  近10年全球各地古柯鹼查獲量</w:t>
      </w:r>
    </w:p>
    <w:p>
      <w:pPr>
        <w:ind w:firstLine="480"/>
        <w:rPr>
          <w:rFonts w:hint="eastAsia" w:ascii="宋体" w:hAnsi="宋体" w:eastAsia="宋体" w:cs="宋体"/>
        </w:rPr>
      </w:pPr>
      <w:r>
        <w:rPr>
          <w:rFonts w:hint="eastAsia" w:ascii="宋体" w:hAnsi="宋体" w:eastAsia="宋体" w:cs="宋体"/>
        </w:rPr>
        <w:t>古柯鹼的主要販運路線是從哥倫比亞販運到美國及加拿大，而厄瓜多、墨西哥及中美國家作為轉運國。美國的古柯鹼市場有所下滑，其查獲量及使用率自2006年以來有下降的趨勢。</w:t>
      </w:r>
    </w:p>
    <w:p>
      <w:pPr>
        <w:ind w:firstLine="480"/>
        <w:rPr>
          <w:rFonts w:hint="eastAsia" w:ascii="宋体" w:hAnsi="宋体" w:eastAsia="宋体" w:cs="宋体"/>
        </w:rPr>
      </w:pPr>
      <w:r>
        <w:rPr>
          <w:rFonts w:hint="eastAsia" w:ascii="宋体" w:hAnsi="宋体" w:eastAsia="宋体" w:cs="宋体"/>
        </w:rPr>
        <w:t>巴西的陸上邊界與三個古柯鹼的主要來源國相鄰，也是轉運至非洲與歐洲的中繼站，在全球古柯鹼市場扮演著重要的目的國與轉運國角色。2011年巴西所查獲的古柯鹼有超過一半來自波利維亞（54%），其次為祕魯（38%）及哥倫比亞（7.5%）。巴西也是毒品托運至西非、中非及歐洲伊比利亞半島的轉運點，而巴西與葡萄牙與葡語系國家間與言及文化上的關聯與此現象有關。</w:t>
      </w:r>
    </w:p>
    <w:p>
      <w:pPr>
        <w:ind w:firstLine="480"/>
        <w:rPr>
          <w:rFonts w:hint="eastAsia" w:ascii="宋体" w:hAnsi="宋体" w:eastAsia="宋体" w:cs="宋体"/>
        </w:rPr>
      </w:pPr>
      <w:r>
        <w:rPr>
          <w:rFonts w:hint="eastAsia" w:ascii="宋体" w:hAnsi="宋体" w:eastAsia="宋体" w:cs="宋体"/>
        </w:rPr>
        <w:t>在歐洲，西班牙是古柯鹼重要的轉運及消費國，其查獲量自2006年至2011年呈現下降的趨勢。東歐及東南歐的古柯鹼使用與販運有受到控制，但土耳其的查獲量有所增加。此外，古柯鹼販運出現一條與海洛因販運重疊的路線，經由巴爾幹半島將古柯鹼送至中歐及東歐。</w:t>
      </w:r>
    </w:p>
    <w:p>
      <w:pPr>
        <w:ind w:firstLine="480"/>
        <w:rPr>
          <w:rFonts w:hint="eastAsia" w:ascii="宋体" w:hAnsi="宋体" w:eastAsia="宋体" w:cs="宋体"/>
        </w:rPr>
      </w:pPr>
      <w:r>
        <w:rPr>
          <w:rFonts w:hint="eastAsia" w:ascii="宋体" w:hAnsi="宋体" w:eastAsia="宋体" w:cs="宋体"/>
        </w:rPr>
        <w:t>大洋洲的古柯鹼查獲量在近年達到新高。加拿大是主要的中繼站，而來源地以英國、美國及泰國占最多數。澳洲的古柯鹼使用人數有所增加，2010年有2.1% 14歲以上的人使用過古柯鹼。在中東地區，敘利亞、黎巴嫩及以色列都查獲一定的數量，2011年也有所增加，是不可忽視的一條販運路線。</w:t>
      </w:r>
    </w:p>
    <w:p>
      <w:pPr>
        <w:ind w:firstLine="480"/>
        <w:rPr>
          <w:rFonts w:hint="eastAsia" w:ascii="宋体" w:hAnsi="宋体" w:eastAsia="宋体" w:cs="宋体"/>
        </w:rPr>
      </w:pPr>
      <w:r>
        <w:rPr>
          <w:rFonts w:hint="eastAsia" w:ascii="宋体" w:hAnsi="宋体" w:eastAsia="宋体" w:cs="宋体"/>
        </w:rPr>
        <w:t>在非洲，南非與奈及利亞是主要的古柯鹼市場，並做為西非販運至南美、歐洲等地的轉運站。而陸路的販運路線也增加了北非古柯鹼的使用。肯亞具有一定的消費市場，顯示東非作為目的地或轉運地的角色逐漸重要。東亞及東南亞地區是古柯鹼市場擴張可能性較高的地區。香港的查獲量從2010年的600公斤增加到2011年的800公斤。菲律賓的查獲量也有成長。泰國以往是安非他命的大消費國，但近年也如同巴基斯坦般查獲高量的古柯鹼（UNODC, 2013）。</w:t>
      </w:r>
    </w:p>
    <w:p>
      <w:pPr>
        <w:ind w:firstLine="480"/>
      </w:pPr>
      <w:r>
        <w:rPr>
          <w:rFonts w:hint="eastAsia" w:ascii="宋体" w:hAnsi="宋体" w:eastAsia="宋体" w:cs="宋体"/>
        </w:rPr>
        <w:t>近年古柯鹼市場有所下降，與北美近7年古柯鹼市場的衰退有關，而在西歐及中歐地區，古柯鹼市場在多年成長後有穩定的趨勢。在南美洲、非洲及亞洲，使用古柯鹼的人數大幅增長。此外，許多之前與古柯鹼使用或販運沒有關連的地區，有跡象顯示成為古柯鹼新興的市場。全球人數的增加，可能是古柯鹼全球需求趨勢的主要原因。</w:t>
      </w:r>
    </w:p>
    <w:p>
      <w:pPr>
        <w:ind w:firstLine="480"/>
        <w:rPr>
          <w:rFonts w:hint="eastAsia" w:ascii="宋体" w:hAnsi="宋体" w:eastAsia="宋体" w:cs="宋体"/>
        </w:rPr>
      </w:pPr>
      <w:r>
        <w:rPr>
          <w:rFonts w:hint="eastAsia" w:ascii="宋体" w:hAnsi="宋体" w:eastAsia="宋体" w:cs="宋体"/>
        </w:rPr>
        <w:t>近年來古柯鹼販運集團最大的改變，就是不再由少數集團壟斷市場。梅德因（Medellin）與卡利（Cali） 集團在1990年代前半期瓦解，原本被這兩個集團霸占的市場後來由大量、分散的小型販毒集團瓜分。1990年代中期，由於販毒集團往來秘魯與哥倫比亞之間的空中運輸管道被執法部門瓦解，使得原本主要由秘魯（玻利維亞次之）種植古柯葉再運至哥倫比亞提煉古柯鹼的分工系統被打亂，導致古柯葉的種植轉移到哥倫比亞，縮短了種植地與提煉工廠之間的距離，另一副作用就是秘魯也開始發展古柯鹼的製造技術。雖然哥倫比亞仍為古柯鹼的最大製造國，但近年來這個古柯鹼國際交易中心已有勢微趨勢。1980年至1990年代初期，全球的古柯鹼市場幾乎由哥倫比亞販毒集團所壟斷，但之後出現許多其他販運集團。其中來自哥倫比亞鄰國以及墨西哥的販運集團，主導經由墨西哥到美國中部及西部地區的古柯鹼販運活動。而哥倫比亞集團，繼續掌控販運到美國佛羅里達州、東岸及歐洲西班牙的古柯鹼交易活動。而販運至英國的古柯鹼交易活動，主要是由來自加勒比海地區的販毒集團所控制。近年來，在販運古柯鹼至西歐的網絡中，一些來自西非的販毒集團相當活躍（Kethineni, 2010）。哥倫比亞的古柯鹼緝獲量顯示，相較於海上販運的太平洋路線，大西洋路線正日益重要；從南美洲途經巴西、葡萄牙和非洲葡萄牙語系國家至歐洲的古柯鹼販運路線，語言上的關聯發揮了一定的作用。而古柯鹼市場似乎正向亞洲新興經濟體國家擴展。</w:t>
      </w:r>
    </w:p>
    <w:p>
      <w:pPr>
        <w:ind w:firstLine="480"/>
      </w:pPr>
      <w:r>
        <w:rPr>
          <w:rFonts w:hint="eastAsia" w:ascii="宋体" w:hAnsi="宋体" w:eastAsia="宋体" w:cs="宋体"/>
        </w:rPr>
        <w:t>雖然，垂直整合的販運網絡（vertically integrated trafficking networks）現今已較不普遍，但古柯鹼的案件平均查獲量顯著大於鴉片類麻醉毒品及安非他命類興奮劑。這所反映的事實是，與其他毒品相較，古柯鹼的販運量比較大，而且古柯鹼的交易活動較具</w:t>
      </w:r>
      <w:bookmarkStart w:id="2" w:name="OLE_LINK3"/>
      <w:r>
        <w:rPr>
          <w:rFonts w:hint="eastAsia" w:ascii="宋体" w:hAnsi="宋体" w:eastAsia="宋体" w:cs="宋体"/>
        </w:rPr>
        <w:t>層級節制組織化</w:t>
      </w:r>
      <w:bookmarkEnd w:id="2"/>
      <w:r>
        <w:rPr>
          <w:rFonts w:hint="eastAsia" w:ascii="宋体" w:hAnsi="宋体" w:eastAsia="宋体" w:cs="宋体"/>
        </w:rPr>
        <w:t>（hierarchically organized）。古柯鹼平均查獲量多達數公斤，相對的海洛因、安非他命類興奮劑平均查獲量未達1公斤。若以等劑量呈現，古柯鹼的平均查獲量也大於大麻（Mosher, &amp; Akins, 2007; Casey, 2010）。表6為本文所歸納整理的古柯鹼區域特徵及販運模式。</w:t>
      </w:r>
    </w:p>
    <w:p>
      <w:pPr>
        <w:spacing w:line="240" w:lineRule="auto"/>
        <w:ind w:firstLine="440"/>
        <w:rPr>
          <w:rFonts w:eastAsia="MingLiU"/>
          <w:sz w:val="22"/>
          <w:szCs w:val="22"/>
        </w:rPr>
      </w:pPr>
    </w:p>
    <w:p>
      <w:pPr>
        <w:ind w:firstLine="0" w:firstLineChars="0"/>
        <w:jc w:val="center"/>
      </w:pPr>
      <w:r>
        <w:rPr>
          <w:rFonts w:hint="eastAsia" w:ascii="宋体" w:hAnsi="宋体" w:eastAsia="宋体" w:cs="宋体"/>
          <w:sz w:val="21"/>
          <w:szCs w:val="21"/>
        </w:rPr>
        <w:t>表6  古柯鹼的區域特徵及販運模式</w:t>
      </w:r>
    </w:p>
    <w:tbl>
      <w:tblPr>
        <w:tblStyle w:val="46"/>
        <w:tblW w:w="8820" w:type="dxa"/>
        <w:jc w:val="center"/>
        <w:tblInd w:w="-3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800"/>
        <w:gridCol w:w="3600"/>
        <w:gridCol w:w="3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735" w:hRule="atLeast"/>
          <w:jc w:val="center"/>
        </w:trPr>
        <w:tc>
          <w:tcPr>
            <w:tcW w:w="180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240" w:lineRule="auto"/>
              <w:ind w:firstLine="0" w:firstLineChars="0"/>
              <w:jc w:val="center"/>
              <w:rPr>
                <w:rFonts w:eastAsia="MingLiU"/>
                <w:b/>
                <w:sz w:val="21"/>
                <w:szCs w:val="21"/>
              </w:rPr>
            </w:pPr>
            <w:r>
              <w:rPr>
                <w:rFonts w:hAnsi="MingLiU" w:eastAsia="MingLiU"/>
                <w:b/>
                <w:sz w:val="21"/>
                <w:szCs w:val="21"/>
              </w:rPr>
              <w:t>施用人數</w:t>
            </w:r>
          </w:p>
        </w:tc>
        <w:tc>
          <w:tcPr>
            <w:tcW w:w="360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240" w:lineRule="auto"/>
              <w:ind w:left="290" w:firstLine="0" w:firstLineChars="0"/>
              <w:jc w:val="center"/>
              <w:rPr>
                <w:rFonts w:eastAsia="MingLiU"/>
                <w:b/>
                <w:sz w:val="21"/>
                <w:szCs w:val="21"/>
              </w:rPr>
            </w:pPr>
            <w:r>
              <w:rPr>
                <w:rFonts w:hAnsi="MingLiU" w:eastAsia="MingLiU"/>
                <w:b/>
                <w:sz w:val="21"/>
                <w:szCs w:val="21"/>
              </w:rPr>
              <w:t>查獲地區</w:t>
            </w:r>
          </w:p>
        </w:tc>
        <w:tc>
          <w:tcPr>
            <w:tcW w:w="342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240" w:lineRule="auto"/>
              <w:ind w:left="290" w:firstLine="0" w:firstLineChars="0"/>
              <w:jc w:val="center"/>
              <w:rPr>
                <w:rFonts w:eastAsia="MingLiU"/>
                <w:b/>
                <w:sz w:val="21"/>
                <w:szCs w:val="21"/>
              </w:rPr>
            </w:pPr>
            <w:r>
              <w:rPr>
                <w:rFonts w:hAnsi="MingLiU" w:eastAsia="MingLiU"/>
                <w:b/>
                <w:sz w:val="21"/>
                <w:szCs w:val="21"/>
              </w:rPr>
              <w:t>主要販運路線及特徵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735"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MingLiU"/>
                <w:sz w:val="21"/>
                <w:szCs w:val="21"/>
              </w:rPr>
            </w:pPr>
            <w:r>
              <w:rPr>
                <w:rFonts w:eastAsia="MingLiU"/>
                <w:sz w:val="21"/>
                <w:szCs w:val="21"/>
              </w:rPr>
              <w:t>1</w:t>
            </w:r>
            <w:r>
              <w:rPr>
                <w:rFonts w:hAnsi="MingLiU" w:eastAsia="MingLiU"/>
                <w:sz w:val="21"/>
                <w:szCs w:val="21"/>
              </w:rPr>
              <w:t>千</w:t>
            </w:r>
            <w:r>
              <w:rPr>
                <w:rFonts w:eastAsia="MingLiU"/>
                <w:sz w:val="21"/>
                <w:szCs w:val="21"/>
              </w:rPr>
              <w:t>7</w:t>
            </w:r>
            <w:r>
              <w:rPr>
                <w:rFonts w:hAnsi="MingLiU" w:eastAsia="MingLiU"/>
                <w:sz w:val="21"/>
                <w:szCs w:val="21"/>
              </w:rPr>
              <w:t>百萬人，占全球</w:t>
            </w:r>
            <w:r>
              <w:rPr>
                <w:rFonts w:eastAsia="MingLiU"/>
                <w:sz w:val="21"/>
                <w:szCs w:val="21"/>
              </w:rPr>
              <w:t>15~64</w:t>
            </w:r>
            <w:r>
              <w:rPr>
                <w:rFonts w:hAnsi="MingLiU" w:eastAsia="MingLiU"/>
                <w:sz w:val="21"/>
                <w:szCs w:val="21"/>
              </w:rPr>
              <w:t>歲人口的</w:t>
            </w:r>
            <w:r>
              <w:rPr>
                <w:rFonts w:eastAsia="MingLiU"/>
                <w:sz w:val="21"/>
                <w:szCs w:val="21"/>
              </w:rPr>
              <w:t>0.37%</w:t>
            </w:r>
            <w:r>
              <w:rPr>
                <w:rFonts w:hAnsi="MingLiU" w:eastAsia="MingLiU"/>
                <w:sz w:val="21"/>
                <w:szCs w:val="21"/>
              </w:rPr>
              <w:t>。</w:t>
            </w:r>
          </w:p>
        </w:tc>
        <w:tc>
          <w:tcPr>
            <w:tcW w:w="3600" w:type="dxa"/>
            <w:tcBorders>
              <w:top w:val="single" w:color="auto" w:sz="4" w:space="0"/>
              <w:left w:val="single" w:color="auto" w:sz="4" w:space="0"/>
              <w:bottom w:val="single" w:color="auto" w:sz="4" w:space="0"/>
              <w:right w:val="single" w:color="auto" w:sz="4" w:space="0"/>
            </w:tcBorders>
            <w:vAlign w:val="top"/>
          </w:tcPr>
          <w:p>
            <w:pPr>
              <w:widowControl/>
              <w:numPr>
                <w:ilvl w:val="0"/>
                <w:numId w:val="5"/>
              </w:numPr>
              <w:tabs>
                <w:tab w:val="clear" w:pos="360"/>
              </w:tabs>
              <w:spacing w:line="240" w:lineRule="auto"/>
              <w:ind w:left="228" w:firstLine="0" w:firstLineChars="0"/>
              <w:rPr>
                <w:rFonts w:eastAsia="MingLiU"/>
                <w:sz w:val="21"/>
                <w:szCs w:val="21"/>
              </w:rPr>
            </w:pPr>
            <w:r>
              <w:rPr>
                <w:rFonts w:hAnsi="MingLiU" w:eastAsia="MingLiU"/>
                <w:sz w:val="21"/>
                <w:szCs w:val="21"/>
              </w:rPr>
              <w:t>最大的古柯鹼查獲量來自哥倫比亞（</w:t>
            </w:r>
            <w:r>
              <w:rPr>
                <w:rFonts w:eastAsia="MingLiU"/>
                <w:sz w:val="21"/>
                <w:szCs w:val="21"/>
              </w:rPr>
              <w:t>200</w:t>
            </w:r>
            <w:r>
              <w:rPr>
                <w:rFonts w:hAnsi="MingLiU" w:eastAsia="MingLiU"/>
                <w:sz w:val="21"/>
                <w:szCs w:val="21"/>
              </w:rPr>
              <w:t>噸）和美國（</w:t>
            </w:r>
            <w:r>
              <w:rPr>
                <w:rFonts w:eastAsia="MingLiU"/>
                <w:sz w:val="21"/>
                <w:szCs w:val="21"/>
              </w:rPr>
              <w:t>94</w:t>
            </w:r>
            <w:r>
              <w:rPr>
                <w:rFonts w:hAnsi="MingLiU" w:eastAsia="MingLiU"/>
                <w:sz w:val="21"/>
                <w:szCs w:val="21"/>
              </w:rPr>
              <w:t>噸）。</w:t>
            </w:r>
          </w:p>
          <w:p>
            <w:pPr>
              <w:widowControl/>
              <w:numPr>
                <w:ilvl w:val="0"/>
                <w:numId w:val="5"/>
              </w:numPr>
              <w:tabs>
                <w:tab w:val="clear" w:pos="360"/>
              </w:tabs>
              <w:spacing w:line="240" w:lineRule="auto"/>
              <w:ind w:left="228" w:firstLine="0" w:firstLineChars="0"/>
              <w:rPr>
                <w:rFonts w:eastAsia="MingLiU"/>
                <w:sz w:val="21"/>
                <w:szCs w:val="21"/>
              </w:rPr>
            </w:pPr>
            <w:r>
              <w:rPr>
                <w:rFonts w:hAnsi="MingLiU" w:eastAsia="MingLiU"/>
                <w:sz w:val="21"/>
                <w:szCs w:val="21"/>
              </w:rPr>
              <w:t>在東亞地區，香港的查獲量急劇增加。</w:t>
            </w:r>
          </w:p>
          <w:p>
            <w:pPr>
              <w:widowControl/>
              <w:numPr>
                <w:ilvl w:val="0"/>
                <w:numId w:val="5"/>
              </w:numPr>
              <w:tabs>
                <w:tab w:val="clear" w:pos="360"/>
              </w:tabs>
              <w:spacing w:line="240" w:lineRule="auto"/>
              <w:ind w:left="228" w:firstLine="0" w:firstLineChars="0"/>
              <w:rPr>
                <w:rFonts w:eastAsia="MingLiU"/>
                <w:sz w:val="21"/>
                <w:szCs w:val="21"/>
              </w:rPr>
            </w:pPr>
            <w:r>
              <w:rPr>
                <w:rFonts w:hAnsi="MingLiU" w:eastAsia="MingLiU"/>
                <w:sz w:val="21"/>
                <w:szCs w:val="21"/>
              </w:rPr>
              <w:t>在中東地區，敘利亞、黎巴嫩及以色列都查獲一定的數量。</w:t>
            </w:r>
          </w:p>
          <w:p>
            <w:pPr>
              <w:widowControl/>
              <w:numPr>
                <w:ilvl w:val="0"/>
                <w:numId w:val="5"/>
              </w:numPr>
              <w:tabs>
                <w:tab w:val="clear" w:pos="360"/>
              </w:tabs>
              <w:spacing w:line="240" w:lineRule="auto"/>
              <w:ind w:left="228" w:firstLine="0" w:firstLineChars="0"/>
              <w:rPr>
                <w:rFonts w:eastAsia="MingLiU"/>
                <w:sz w:val="21"/>
                <w:szCs w:val="21"/>
              </w:rPr>
            </w:pPr>
            <w:r>
              <w:rPr>
                <w:rFonts w:hAnsi="MingLiU" w:eastAsia="MingLiU"/>
                <w:sz w:val="21"/>
                <w:szCs w:val="21"/>
              </w:rPr>
              <w:t>大洋洲的古柯鹼查獲量在</w:t>
            </w:r>
            <w:r>
              <w:rPr>
                <w:rFonts w:eastAsia="MingLiU"/>
                <w:sz w:val="21"/>
                <w:szCs w:val="21"/>
              </w:rPr>
              <w:t>2011</w:t>
            </w:r>
            <w:r>
              <w:rPr>
                <w:rFonts w:hAnsi="MingLiU" w:eastAsia="MingLiU"/>
                <w:sz w:val="21"/>
                <w:szCs w:val="21"/>
              </w:rPr>
              <w:t>年達到新高。</w:t>
            </w:r>
          </w:p>
        </w:tc>
        <w:tc>
          <w:tcPr>
            <w:tcW w:w="3420" w:type="dxa"/>
            <w:tcBorders>
              <w:top w:val="single" w:color="auto" w:sz="4" w:space="0"/>
              <w:left w:val="single" w:color="auto" w:sz="4" w:space="0"/>
              <w:bottom w:val="single" w:color="auto" w:sz="4" w:space="0"/>
              <w:right w:val="single" w:color="auto" w:sz="4" w:space="0"/>
            </w:tcBorders>
            <w:vAlign w:val="top"/>
          </w:tcPr>
          <w:p>
            <w:pPr>
              <w:widowControl/>
              <w:numPr>
                <w:ilvl w:val="0"/>
                <w:numId w:val="6"/>
              </w:numPr>
              <w:tabs>
                <w:tab w:val="clear" w:pos="360"/>
              </w:tabs>
              <w:spacing w:line="240" w:lineRule="auto"/>
              <w:ind w:left="228" w:firstLine="0" w:firstLineChars="0"/>
              <w:rPr>
                <w:rFonts w:eastAsia="MingLiU"/>
                <w:sz w:val="21"/>
                <w:szCs w:val="21"/>
              </w:rPr>
            </w:pPr>
            <w:r>
              <w:rPr>
                <w:rFonts w:hAnsi="MingLiU" w:eastAsia="MingLiU"/>
                <w:sz w:val="21"/>
                <w:szCs w:val="21"/>
              </w:rPr>
              <w:t>主要販運路線是從哥倫比亞販運到美國及加拿大，而厄瓜多、墨西哥及中美國家作為轉運國。</w:t>
            </w:r>
          </w:p>
          <w:p>
            <w:pPr>
              <w:widowControl/>
              <w:numPr>
                <w:ilvl w:val="0"/>
                <w:numId w:val="6"/>
              </w:numPr>
              <w:tabs>
                <w:tab w:val="clear" w:pos="360"/>
              </w:tabs>
              <w:spacing w:line="240" w:lineRule="auto"/>
              <w:ind w:left="228" w:firstLine="0" w:firstLineChars="0"/>
              <w:rPr>
                <w:rFonts w:eastAsia="MingLiU"/>
                <w:sz w:val="21"/>
                <w:szCs w:val="21"/>
              </w:rPr>
            </w:pPr>
            <w:r>
              <w:rPr>
                <w:rFonts w:hAnsi="MingLiU" w:eastAsia="MingLiU"/>
                <w:sz w:val="21"/>
                <w:szCs w:val="21"/>
              </w:rPr>
              <w:t>巴西是轉運至非洲與歐洲的中繼站，也是毒品托運至西非、中非及歐洲伊比利亞半島的轉運點。</w:t>
            </w:r>
          </w:p>
          <w:p>
            <w:pPr>
              <w:widowControl/>
              <w:numPr>
                <w:ilvl w:val="0"/>
                <w:numId w:val="6"/>
              </w:numPr>
              <w:tabs>
                <w:tab w:val="clear" w:pos="360"/>
              </w:tabs>
              <w:spacing w:line="240" w:lineRule="auto"/>
              <w:ind w:left="228" w:firstLine="0" w:firstLineChars="0"/>
              <w:rPr>
                <w:rFonts w:eastAsia="MingLiU"/>
                <w:sz w:val="21"/>
                <w:szCs w:val="21"/>
              </w:rPr>
            </w:pPr>
            <w:r>
              <w:rPr>
                <w:rFonts w:hAnsi="MingLiU" w:eastAsia="MingLiU"/>
                <w:sz w:val="21"/>
                <w:szCs w:val="21"/>
              </w:rPr>
              <w:t>大洋洲的古柯鹼主要來自英國、美國及泰國，經由加拿大轉運而來。</w:t>
            </w:r>
          </w:p>
          <w:p>
            <w:pPr>
              <w:widowControl/>
              <w:numPr>
                <w:ilvl w:val="0"/>
                <w:numId w:val="6"/>
              </w:numPr>
              <w:tabs>
                <w:tab w:val="clear" w:pos="360"/>
              </w:tabs>
              <w:spacing w:line="240" w:lineRule="auto"/>
              <w:ind w:left="228" w:firstLine="0" w:firstLineChars="0"/>
              <w:rPr>
                <w:rFonts w:eastAsia="MingLiU"/>
                <w:sz w:val="21"/>
                <w:szCs w:val="21"/>
              </w:rPr>
            </w:pPr>
            <w:r>
              <w:rPr>
                <w:rFonts w:hAnsi="MingLiU" w:eastAsia="MingLiU"/>
                <w:sz w:val="21"/>
                <w:szCs w:val="21"/>
              </w:rPr>
              <w:t>西非販運集團經由南非與奈及利亞，將古柯鹼販運至南美、歐洲等地。</w:t>
            </w:r>
          </w:p>
          <w:p>
            <w:pPr>
              <w:widowControl/>
              <w:numPr>
                <w:ilvl w:val="0"/>
                <w:numId w:val="6"/>
              </w:numPr>
              <w:tabs>
                <w:tab w:val="clear" w:pos="360"/>
              </w:tabs>
              <w:spacing w:line="240" w:lineRule="auto"/>
              <w:ind w:left="228" w:firstLine="0" w:firstLineChars="0"/>
              <w:rPr>
                <w:rFonts w:eastAsia="MingLiU"/>
                <w:sz w:val="21"/>
                <w:szCs w:val="21"/>
              </w:rPr>
            </w:pPr>
            <w:r>
              <w:rPr>
                <w:rFonts w:hAnsi="MingLiU" w:eastAsia="MingLiU"/>
                <w:sz w:val="21"/>
                <w:szCs w:val="21"/>
              </w:rPr>
              <w:t>新的與海洛因販運重疊的路線：經由巴爾幹半島將古柯鹼送至中歐及東歐。</w:t>
            </w:r>
          </w:p>
        </w:tc>
      </w:tr>
    </w:tbl>
    <w:p>
      <w:pPr>
        <w:spacing w:before="163" w:beforeLines="50" w:line="240" w:lineRule="auto"/>
        <w:ind w:left="900" w:hanging="900" w:hangingChars="450"/>
        <w:rPr>
          <w:rFonts w:eastAsia="MingLiU"/>
          <w:sz w:val="20"/>
        </w:rPr>
      </w:pPr>
      <w:r>
        <w:rPr>
          <w:rFonts w:hint="eastAsia" w:ascii="宋体" w:hAnsi="宋体" w:eastAsia="宋体" w:cs="宋体"/>
          <w:sz w:val="21"/>
          <w:szCs w:val="21"/>
        </w:rPr>
        <w:t xml:space="preserve">資料來源：整理自Kethineni, S. (2010). </w:t>
      </w:r>
      <w:r>
        <w:rPr>
          <w:rFonts w:hint="eastAsia" w:ascii="宋体" w:hAnsi="宋体" w:eastAsia="宋体" w:cs="宋体"/>
          <w:i/>
          <w:sz w:val="21"/>
          <w:szCs w:val="21"/>
        </w:rPr>
        <w:t>Comparative and international policing, justice, and transnational crime</w:t>
      </w:r>
      <w:r>
        <w:rPr>
          <w:rFonts w:hint="eastAsia" w:ascii="宋体" w:hAnsi="宋体" w:eastAsia="宋体" w:cs="宋体"/>
          <w:sz w:val="21"/>
          <w:szCs w:val="21"/>
        </w:rPr>
        <w:t xml:space="preserve">. Durham, NC: Carolina Academic Press.以及UNODC (2013). </w:t>
      </w:r>
      <w:r>
        <w:rPr>
          <w:rFonts w:hint="eastAsia" w:ascii="宋体" w:hAnsi="宋体" w:eastAsia="宋体" w:cs="宋体"/>
          <w:i/>
          <w:sz w:val="21"/>
          <w:szCs w:val="21"/>
        </w:rPr>
        <w:t>World Drug Report 2013</w:t>
      </w:r>
      <w:r>
        <w:rPr>
          <w:rFonts w:hint="eastAsia" w:ascii="宋体" w:hAnsi="宋体" w:eastAsia="宋体" w:cs="宋体"/>
          <w:sz w:val="21"/>
          <w:szCs w:val="21"/>
        </w:rPr>
        <w:t xml:space="preserve">. </w:t>
      </w:r>
    </w:p>
    <w:p>
      <w:pPr>
        <w:spacing w:line="240" w:lineRule="auto"/>
        <w:ind w:firstLine="440"/>
        <w:rPr>
          <w:rFonts w:eastAsia="MingLiU"/>
          <w:sz w:val="22"/>
          <w:szCs w:val="22"/>
        </w:rPr>
      </w:pPr>
    </w:p>
    <w:p>
      <w:pPr>
        <w:pStyle w:val="5"/>
        <w:ind w:firstLine="480"/>
      </w:pPr>
      <w:r>
        <w:t>三、鴉片類麻醉藥品（鴉片、嗎啡及海洛因）</w:t>
      </w:r>
    </w:p>
    <w:p>
      <w:pPr>
        <w:ind w:firstLine="480"/>
        <w:rPr>
          <w:rFonts w:hint="eastAsia" w:ascii="宋体" w:hAnsi="宋体" w:eastAsia="宋体" w:cs="宋体"/>
        </w:rPr>
      </w:pPr>
      <w:r>
        <w:rPr>
          <w:rFonts w:hint="eastAsia" w:ascii="宋体" w:hAnsi="宋体" w:eastAsia="宋体" w:cs="宋体"/>
        </w:rPr>
        <w:t>UNODC（2013）估計全球15~64歳施用鴉片類麻醉藥品的人數約為1千6百5十萬人，占全球15~64歲人口的0.4%。此類毒品在亞洲甚為嚴重，施用人數約為8百萬至1千2百萬人。</w:t>
      </w:r>
    </w:p>
    <w:p>
      <w:pPr>
        <w:ind w:firstLine="480"/>
        <w:rPr>
          <w:rFonts w:hint="eastAsia" w:ascii="宋体" w:hAnsi="宋体" w:eastAsia="宋体" w:cs="宋体"/>
        </w:rPr>
      </w:pPr>
      <w:r>
        <w:rPr>
          <w:rFonts w:hint="eastAsia" w:ascii="宋体" w:hAnsi="宋体" w:eastAsia="宋体" w:cs="宋体"/>
        </w:rPr>
        <w:t>阿富汗仍是全球鴉片首要生產國與種植國，占2012年全球非法鴉片生產量的74%。2012年全球罌粟的種植面積達到23萬6千公頃，為十年來最高，主因是阿富汗及緬甸種植量的增加。墨西哥則是美洲生產最多罌粟的國家。阿富汗鴉片生產量的變化影響著歐洲的市場。此外，阿富汗鴉片也有流向東亞及東南亞的現象。</w:t>
      </w:r>
    </w:p>
    <w:p>
      <w:pPr>
        <w:ind w:firstLine="480"/>
      </w:pPr>
      <w:r>
        <w:rPr>
          <w:rFonts w:hint="eastAsia" w:ascii="宋体" w:hAnsi="宋体" w:eastAsia="宋体" w:cs="宋体"/>
        </w:rPr>
        <w:t>西歐和中歐使用海洛因的情形有減少，主因是市場結構的變化，包括供給的減少、執法活動的增加、老化的使用人口及治療可取得性的增加。執法活動的增加反映在全球海洛因的查獲量，也影響了對歐洲的供應。2011年歐洲僅查獲16噸，下降了28%，詳如圖6。而作為販運中繼站的伊朗（查獲23噸，下降15%）及土耳其（查獲7噸，下降43%）也有相同的現象，詳如圖7。在德國，海洛因的純度不論在批發或零售市場都有所下降，是由於市場較困難的可取得性，使得販運者參雜物質所致。</w:t>
      </w:r>
    </w:p>
    <w:p>
      <w:pPr>
        <w:ind w:firstLine="480"/>
      </w:pPr>
      <w:r>
        <w:rPr>
          <w:rFonts w:hint="eastAsia" w:ascii="宋体" w:hAnsi="宋体" w:eastAsia="宋体" w:cs="宋体"/>
        </w:rPr>
        <w:t>在中亞地區，海洛因的查獲量十年來逐漸減少，而市場則維持穩定。在東亞地區，大陸地區的海洛因查獲量是隨著東南亞地區鴉片的生產而變化，而海洛因使用者的增加，顯示來自它地-阿富汗的鴉片也逐漸成為大陸地區重要的市場來源。在中東地區，敘利亞及沙烏地阿拉伯的海洛因查獲量都有增加；而在阿拉伯聯合大公國，大量經由貨櫃運輸的海洛因被查獲，顯示販運者利用港口的貿易往來進行非法交易。在美洲，加拿大的海洛因主要來自亞洲，特別是阿富汗；而哥倫比亞及墨西哥是美國海洛因市場的主要供應者。</w:t>
      </w:r>
    </w:p>
    <w:p>
      <w:pPr>
        <w:spacing w:line="240" w:lineRule="auto"/>
        <w:ind w:firstLine="440"/>
        <w:rPr>
          <w:sz w:val="22"/>
          <w:szCs w:val="22"/>
        </w:rPr>
      </w:pPr>
    </w:p>
    <w:p>
      <w:pPr>
        <w:spacing w:line="240" w:lineRule="auto"/>
        <w:ind w:firstLine="440"/>
        <w:rPr>
          <w:sz w:val="22"/>
          <w:szCs w:val="22"/>
        </w:rPr>
      </w:pPr>
    </w:p>
    <w:p>
      <w:pPr>
        <w:spacing w:line="240" w:lineRule="auto"/>
        <w:ind w:firstLine="0" w:firstLineChars="0"/>
        <w:rPr>
          <w:rFonts w:eastAsia="PMingLiU"/>
        </w:rPr>
      </w:pPr>
      <w:r>
        <w:rPr>
          <w:rFonts w:ascii="Times New Roman" w:hAnsi="Times New Roman" w:eastAsia="宋体" w:cs="Times New Roman"/>
          <w:kern w:val="2"/>
          <w:sz w:val="24"/>
          <w:szCs w:val="24"/>
          <w:lang w:val="en-US" w:eastAsia="zh-CN" w:bidi="ar-SA"/>
        </w:rPr>
        <w:pict>
          <v:shape id="Quad Arrow 364" o:spid="_x0000_s1044" type="#_x0000_t202" style="position:absolute;left:0;margin-left:1.05pt;margin-top:47.25pt;height:153.8pt;width:46.05pt;rotation:0f;z-index:251666432;"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ind w:firstLine="440"/>
                    <w:rPr>
                      <w:sz w:val="22"/>
                      <w:szCs w:val="22"/>
                    </w:rPr>
                  </w:pPr>
                  <w:r>
                    <w:rPr>
                      <w:rFonts w:hint="eastAsia"/>
                      <w:sz w:val="22"/>
                      <w:szCs w:val="22"/>
                    </w:rPr>
                    <w:t>查獲量（公斤）</w:t>
                  </w:r>
                </w:p>
              </w:txbxContent>
            </v:textbox>
          </v:shape>
        </w:pict>
      </w:r>
      <w:r>
        <w:rPr>
          <w:rFonts w:ascii="Times New Roman" w:hAnsi="Times New Roman" w:eastAsia="宋体" w:cs="Times New Roman"/>
          <w:kern w:val="2"/>
          <w:sz w:val="24"/>
          <w:szCs w:val="24"/>
          <w:lang w:val="en-US" w:eastAsia="zh-CN" w:bidi="ar-SA"/>
        </w:rPr>
        <w:pict>
          <v:shape id="Quad Arrow 365" o:spid="_x0000_s1045" type="#_x0000_t202" style="position:absolute;left:0;margin-left:133.3pt;margin-top:179.8pt;height:57pt;width:86.95pt;rotation:0f;z-index:251667456;" o:ole="f" fillcolor="#FFFFFF" filled="f" o:preferrelative="t" stroked="f" coordorigin="0,0" coordsize="21600,21600">
            <v:fill on="f" color2="#FFFFFF" focus="0%"/>
            <v:imagedata gain="65536f" blacklevel="0f" gamma="0"/>
            <o:lock v:ext="edit" position="f" selection="f" grouping="f" rotation="f" cropping="f" text="f" aspectratio="f"/>
            <v:textbox>
              <w:txbxContent>
                <w:p>
                  <w:pPr>
                    <w:spacing w:line="240" w:lineRule="exact"/>
                    <w:ind w:firstLine="0" w:firstLineChars="0"/>
                    <w:rPr>
                      <w:sz w:val="20"/>
                    </w:rPr>
                  </w:pPr>
                  <w:r>
                    <w:rPr>
                      <w:rFonts w:hint="eastAsia"/>
                      <w:sz w:val="20"/>
                    </w:rPr>
                    <w:t>東歐</w:t>
                  </w:r>
                </w:p>
                <w:p>
                  <w:pPr>
                    <w:spacing w:line="240" w:lineRule="exact"/>
                    <w:ind w:firstLine="0" w:firstLineChars="0"/>
                    <w:rPr>
                      <w:sz w:val="20"/>
                    </w:rPr>
                  </w:pPr>
                  <w:r>
                    <w:rPr>
                      <w:rFonts w:hint="eastAsia"/>
                      <w:sz w:val="20"/>
                    </w:rPr>
                    <w:t>東南歐</w:t>
                  </w:r>
                </w:p>
                <w:p>
                  <w:pPr>
                    <w:spacing w:line="240" w:lineRule="exact"/>
                    <w:ind w:firstLine="0" w:firstLineChars="0"/>
                    <w:rPr>
                      <w:sz w:val="20"/>
                    </w:rPr>
                  </w:pPr>
                  <w:r>
                    <w:rPr>
                      <w:rFonts w:hint="eastAsia"/>
                      <w:sz w:val="20"/>
                    </w:rPr>
                    <w:t>西歐及中歐</w:t>
                  </w:r>
                </w:p>
              </w:txbxContent>
            </v:textbox>
          </v:shape>
        </w:pict>
      </w:r>
      <w:r>
        <w:rPr>
          <w:rFonts w:hint="eastAsia" w:ascii="Times New Roman" w:hAnsi="Times New Roman" w:eastAsia="PMingLiU" w:cs="Times New Roman"/>
          <w:kern w:val="2"/>
          <w:sz w:val="24"/>
          <w:szCs w:val="24"/>
          <w:lang w:val="en-US" w:eastAsia="zh-CN" w:bidi="ar-SA"/>
        </w:rPr>
        <w:pict>
          <v:shape id="图片 6" o:spid="_x0000_s1046" type="#_x0000_t75" style="height:222.75pt;width:387.7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spacing w:line="240" w:lineRule="auto"/>
        <w:ind w:firstLine="400"/>
        <w:rPr>
          <w:rFonts w:hAnsi="PMingLiU" w:eastAsia="PMingLiU"/>
          <w:sz w:val="20"/>
        </w:rPr>
      </w:pPr>
    </w:p>
    <w:p>
      <w:pPr>
        <w:ind w:firstLine="480"/>
        <w:rPr>
          <w:rFonts w:hint="eastAsia" w:ascii="宋体" w:hAnsi="宋体" w:eastAsia="宋体" w:cs="宋体"/>
          <w:sz w:val="21"/>
          <w:szCs w:val="21"/>
        </w:rPr>
      </w:pPr>
      <w:r>
        <w:rPr>
          <w:rFonts w:hint="eastAsia" w:ascii="宋体" w:hAnsi="宋体" w:eastAsia="宋体" w:cs="宋体"/>
          <w:sz w:val="21"/>
          <w:szCs w:val="21"/>
        </w:rPr>
        <w:t>資料來源：UNODC (2013). World Drug Report 2013.</w:t>
      </w:r>
    </w:p>
    <w:p>
      <w:pPr>
        <w:ind w:left="0" w:leftChars="0" w:firstLine="0" w:firstLineChars="0"/>
        <w:jc w:val="center"/>
      </w:pPr>
      <w:r>
        <w:rPr>
          <w:rFonts w:hint="eastAsia" w:ascii="宋体" w:hAnsi="宋体" w:eastAsia="宋体" w:cs="宋体"/>
          <w:sz w:val="21"/>
          <w:szCs w:val="21"/>
        </w:rPr>
        <w:t>圖6  近10年歐洲海洛因查獲量</w:t>
      </w:r>
    </w:p>
    <w:p>
      <w:pPr>
        <w:spacing w:line="240" w:lineRule="auto"/>
        <w:ind w:firstLine="480"/>
        <w:jc w:val="center"/>
      </w:pPr>
    </w:p>
    <w:p>
      <w:pPr>
        <w:spacing w:line="240" w:lineRule="auto"/>
        <w:ind w:firstLine="480"/>
        <w:rPr>
          <w:rFonts w:eastAsia="PMingLiU"/>
        </w:rPr>
      </w:pPr>
    </w:p>
    <w:p>
      <w:pPr>
        <w:spacing w:line="240" w:lineRule="auto"/>
        <w:ind w:firstLine="0" w:firstLineChars="0"/>
        <w:rPr>
          <w:rFonts w:eastAsia="PMingLiU"/>
        </w:rPr>
      </w:pPr>
      <w:r>
        <w:rPr>
          <w:rFonts w:ascii="Times New Roman" w:hAnsi="Times New Roman" w:eastAsia="宋体" w:cs="Times New Roman"/>
          <w:kern w:val="2"/>
          <w:sz w:val="24"/>
          <w:szCs w:val="24"/>
          <w:lang w:val="en-US" w:eastAsia="zh-CN" w:bidi="ar-SA"/>
        </w:rPr>
        <w:pict>
          <v:shape id="Quad Arrow 367" o:spid="_x0000_s1047" type="#_x0000_t202" style="position:absolute;left:0;margin-left:360.65pt;margin-top:26.5pt;height:107.15pt;width:33.8pt;rotation:0f;z-index:251669504;"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ind w:firstLine="440"/>
                    <w:jc w:val="center"/>
                    <w:rPr>
                      <w:sz w:val="22"/>
                      <w:szCs w:val="22"/>
                    </w:rPr>
                  </w:pPr>
                  <w:r>
                    <w:rPr>
                      <w:rFonts w:hint="eastAsia"/>
                      <w:sz w:val="22"/>
                      <w:szCs w:val="22"/>
                    </w:rPr>
                    <w:t>公噸</w:t>
                  </w:r>
                </w:p>
              </w:txbxContent>
            </v:textbox>
          </v:shape>
        </w:pict>
      </w:r>
      <w:r>
        <w:rPr>
          <w:rFonts w:ascii="Times New Roman" w:hAnsi="Times New Roman" w:eastAsia="宋体" w:cs="Times New Roman"/>
          <w:kern w:val="2"/>
          <w:sz w:val="24"/>
          <w:szCs w:val="24"/>
          <w:lang w:val="en-US" w:eastAsia="zh-CN" w:bidi="ar-SA"/>
        </w:rPr>
        <w:pict>
          <v:shape id="Quad Arrow 366" o:spid="_x0000_s1048" type="#_x0000_t202" style="position:absolute;left:0;margin-left:-9.2pt;margin-top:26.5pt;height:107.15pt;width:49.5pt;rotation:0f;z-index:251668480;"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ind w:firstLine="440"/>
                    <w:jc w:val="center"/>
                    <w:rPr>
                      <w:sz w:val="22"/>
                      <w:szCs w:val="22"/>
                    </w:rPr>
                  </w:pPr>
                  <w:r>
                    <w:rPr>
                      <w:rFonts w:hint="eastAsia"/>
                      <w:sz w:val="22"/>
                      <w:szCs w:val="22"/>
                    </w:rPr>
                    <w:t>公噸</w:t>
                  </w:r>
                </w:p>
              </w:txbxContent>
            </v:textbox>
          </v:shape>
        </w:pict>
      </w:r>
      <w:r>
        <w:rPr>
          <w:rFonts w:ascii="Times New Roman" w:hAnsi="Times New Roman" w:eastAsia="宋体" w:cs="Times New Roman"/>
          <w:kern w:val="2"/>
          <w:sz w:val="24"/>
          <w:szCs w:val="24"/>
          <w:lang w:val="en-US" w:eastAsia="zh-CN" w:bidi="ar-SA"/>
        </w:rPr>
        <w:pict>
          <v:shape id="Quad Arrow 368" o:spid="_x0000_s1049" type="#_x0000_t202" style="position:absolute;left:0;margin-left:86.65pt;margin-top:168.35pt;height:54pt;width:111.8pt;rotation:0f;z-index:251670528;" o:ole="f" fillcolor="#FFFFFF" filled="f" o:preferrelative="t" stroked="f" coordorigin="0,0" coordsize="21600,21600">
            <v:fill on="f" color2="#FFFFFF" focus="0%"/>
            <v:imagedata gain="65536f" blacklevel="0f" gamma="0"/>
            <o:lock v:ext="edit" position="f" selection="f" grouping="f" rotation="f" cropping="f" text="f" aspectratio="f"/>
            <v:textbox>
              <w:txbxContent>
                <w:p>
                  <w:pPr>
                    <w:spacing w:line="200" w:lineRule="exact"/>
                    <w:ind w:firstLine="320"/>
                    <w:rPr>
                      <w:sz w:val="16"/>
                      <w:szCs w:val="16"/>
                    </w:rPr>
                  </w:pPr>
                  <w:r>
                    <w:rPr>
                      <w:rFonts w:hint="eastAsia"/>
                      <w:sz w:val="16"/>
                      <w:szCs w:val="16"/>
                    </w:rPr>
                    <w:t>全球查獲量（右軸）</w:t>
                  </w:r>
                </w:p>
                <w:p>
                  <w:pPr>
                    <w:spacing w:line="200" w:lineRule="exact"/>
                    <w:ind w:firstLine="320"/>
                    <w:rPr>
                      <w:sz w:val="16"/>
                      <w:szCs w:val="16"/>
                    </w:rPr>
                  </w:pPr>
                  <w:r>
                    <w:rPr>
                      <w:rFonts w:hint="eastAsia"/>
                      <w:sz w:val="16"/>
                      <w:szCs w:val="16"/>
                    </w:rPr>
                    <w:t>伊朗查獲量（左軸）</w:t>
                  </w:r>
                </w:p>
                <w:p>
                  <w:pPr>
                    <w:spacing w:line="200" w:lineRule="exact"/>
                    <w:ind w:firstLine="320"/>
                    <w:rPr>
                      <w:sz w:val="16"/>
                      <w:szCs w:val="16"/>
                    </w:rPr>
                  </w:pPr>
                  <w:r>
                    <w:rPr>
                      <w:rFonts w:hint="eastAsia"/>
                      <w:sz w:val="16"/>
                      <w:szCs w:val="16"/>
                    </w:rPr>
                    <w:t>土耳其查獲量（左軸）</w:t>
                  </w:r>
                </w:p>
                <w:p>
                  <w:pPr>
                    <w:spacing w:line="200" w:lineRule="exact"/>
                    <w:ind w:firstLine="320"/>
                    <w:rPr>
                      <w:sz w:val="16"/>
                      <w:szCs w:val="16"/>
                    </w:rPr>
                  </w:pPr>
                  <w:r>
                    <w:rPr>
                      <w:rFonts w:hint="eastAsia"/>
                      <w:sz w:val="16"/>
                      <w:szCs w:val="16"/>
                    </w:rPr>
                    <w:t>歐洲查獲量（左軸）</w:t>
                  </w:r>
                </w:p>
              </w:txbxContent>
            </v:textbox>
          </v:shape>
        </w:pict>
      </w:r>
      <w:r>
        <w:rPr>
          <w:rFonts w:hint="eastAsia" w:ascii="Times New Roman" w:hAnsi="Times New Roman" w:eastAsia="PMingLiU" w:cs="Times New Roman"/>
          <w:kern w:val="2"/>
          <w:sz w:val="24"/>
          <w:szCs w:val="24"/>
          <w:lang w:val="en-US" w:eastAsia="zh-CN" w:bidi="ar-SA"/>
        </w:rPr>
        <w:pict>
          <v:shape id="图片 7" o:spid="_x0000_s1050" type="#_x0000_t75" style="height:213pt;width:385.5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spacing w:line="240" w:lineRule="auto"/>
        <w:ind w:firstLine="440"/>
        <w:rPr>
          <w:rFonts w:hint="eastAsia" w:ascii="宋体" w:hAnsi="宋体" w:eastAsia="宋体" w:cs="宋体"/>
          <w:sz w:val="21"/>
          <w:szCs w:val="21"/>
        </w:rPr>
      </w:pPr>
      <w:r>
        <w:rPr>
          <w:rFonts w:hint="eastAsia" w:ascii="宋体" w:hAnsi="宋体" w:eastAsia="宋体" w:cs="宋体"/>
          <w:sz w:val="21"/>
          <w:szCs w:val="21"/>
        </w:rPr>
        <w:t xml:space="preserve">資料來源：UNODC (2013). </w:t>
      </w:r>
      <w:r>
        <w:rPr>
          <w:rFonts w:hint="eastAsia" w:ascii="宋体" w:hAnsi="宋体" w:eastAsia="宋体" w:cs="宋体"/>
          <w:i/>
          <w:sz w:val="21"/>
          <w:szCs w:val="21"/>
        </w:rPr>
        <w:t>World Drug Report 2013</w:t>
      </w:r>
      <w:r>
        <w:rPr>
          <w:rFonts w:hint="eastAsia" w:ascii="宋体" w:hAnsi="宋体" w:eastAsia="宋体" w:cs="宋体"/>
          <w:sz w:val="21"/>
          <w:szCs w:val="21"/>
        </w:rPr>
        <w:t>.</w:t>
      </w:r>
    </w:p>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圖7  近10年伊朗、土耳其與歐洲海洛因查獲量</w:t>
      </w:r>
    </w:p>
    <w:p>
      <w:pPr>
        <w:spacing w:line="240" w:lineRule="auto"/>
        <w:ind w:firstLine="440"/>
        <w:rPr>
          <w:rFonts w:eastAsia="MingLiU"/>
          <w:sz w:val="22"/>
          <w:szCs w:val="22"/>
        </w:rPr>
      </w:pPr>
    </w:p>
    <w:p>
      <w:pPr>
        <w:ind w:firstLine="480"/>
        <w:rPr>
          <w:rFonts w:hint="eastAsia" w:ascii="宋体" w:hAnsi="宋体" w:eastAsia="宋体" w:cs="宋体"/>
        </w:rPr>
      </w:pPr>
      <w:r>
        <w:rPr>
          <w:rFonts w:hint="eastAsia" w:ascii="宋体" w:hAnsi="宋体" w:eastAsia="宋体" w:cs="宋体"/>
        </w:rPr>
        <w:t>雖然全球嗎啡和海洛因的查獲量有所增加，但包括土耳其、西歐和中歐等國家或地區的查獲量有所下降。通常鴉片是在種植罌粟的地方被製成海洛因，但罌粟剷除及鴉片、嗎啡的查獲並不僅在主要鴉片生產國，而是分布在更多的國家。</w:t>
      </w:r>
    </w:p>
    <w:p>
      <w:pPr>
        <w:ind w:firstLine="480"/>
        <w:rPr>
          <w:rFonts w:hint="eastAsia" w:ascii="宋体" w:hAnsi="宋体" w:eastAsia="宋体" w:cs="宋体"/>
        </w:rPr>
      </w:pPr>
      <w:r>
        <w:rPr>
          <w:rFonts w:hint="eastAsia" w:ascii="宋体" w:hAnsi="宋体" w:eastAsia="宋体" w:cs="宋体"/>
        </w:rPr>
        <w:t>鴉片類麻醉藥品主要的販運路線是從阿富汗經鄰國販運至中東、非洲和到歐洲等地區；其次是從東南亞，尤其是從緬甸北部經大陸地區雲南省進入大陸地區，以及從緬甸和寮國經東南亞國家至大洋洲地區（主要為澳洲）；第三是從拉丁美洲（墨西哥、哥倫比亞瓜地馬拉和秘魯）到美國（Casey, 2010; Lemieux, 2010）。鴉片類麻醉藥品的區域特徵和販運模式，如表7。海洛因也出現了新的陸運路線，就是從阿富汗途經伊朗或巴基斯坦向南，並且途經伊拉克穿越中東。有跡象顯示更多除了巴爾幹路線（從伊朗、土耳其到歐洲）及北方路線（經過中亞及俄羅斯），有愈來愈多鴉片經由南方路線（如經由巴基斯坦）被販運。</w:t>
      </w:r>
    </w:p>
    <w:p>
      <w:pPr>
        <w:ind w:firstLine="480"/>
        <w:rPr>
          <w:rFonts w:hint="eastAsia" w:ascii="宋体" w:hAnsi="宋体" w:eastAsia="宋体" w:cs="宋体"/>
        </w:rPr>
      </w:pPr>
      <w:r>
        <w:rPr>
          <w:rFonts w:hint="eastAsia" w:ascii="宋体" w:hAnsi="宋体" w:eastAsia="宋体" w:cs="宋体"/>
        </w:rPr>
        <w:t>而海上販運也為執法者帶來了挑戰。販運分子從阿富汗，途經伊朗或巴基斯坦的港口，再往南通過東非和西非的港口抵達消費者市場。自2009年以來，在東非地區海洛因的查獲量幾乎增加了十倍。經由海上販運的量也較多，2011年4月在貝南（非洲西部的共和國）的單一案件中就查獲了202公斤的海洛因；2012年1月坦尚尼亞也查獲210公斤經由海路販運的海洛因。</w:t>
      </w:r>
    </w:p>
    <w:p>
      <w:pPr>
        <w:ind w:firstLine="480"/>
        <w:rPr>
          <w:rFonts w:hint="eastAsia" w:ascii="宋体" w:hAnsi="宋体" w:eastAsia="宋体" w:cs="宋体"/>
        </w:rPr>
      </w:pPr>
      <w:r>
        <w:rPr>
          <w:rFonts w:hint="eastAsia" w:ascii="宋体" w:hAnsi="宋体" w:eastAsia="宋体" w:cs="宋体"/>
        </w:rPr>
        <w:t>由中東途經伊拉克的新路線也在發展，這可能是伊朗及土耳其在邊界加強執法所致。2011年土耳其執法機關進行了三次行動，查獲了550公斤的海洛因，都是經由伊拉克北部販運而來（UNODC, 2013）。</w:t>
      </w:r>
    </w:p>
    <w:p>
      <w:pPr>
        <w:ind w:firstLine="480"/>
        <w:rPr>
          <w:rFonts w:hint="eastAsia" w:ascii="宋体" w:hAnsi="宋体" w:eastAsia="宋体" w:cs="宋体"/>
        </w:rPr>
      </w:pPr>
      <w:r>
        <w:rPr>
          <w:rFonts w:hint="eastAsia" w:ascii="宋体" w:hAnsi="宋体" w:eastAsia="宋体" w:cs="宋体"/>
        </w:rPr>
        <w:t>近年來開始有報告顯示，鴉片類麻醉藥品的販運活動從已建立好的市場連結逐漸擴大，而且更加多樣化。如以往大陸地區大部分的鴉片類麻醉藥品均是源自緬甸，但現在已發現有部分源自阿富汗經巴基斯坦至大陸地區的海洛因。這些海洛因有的是直接從巴基斯坦經空運至大陸地區，有些則是透過杜拜間接販運至大陸地區。雖然涉及的金額不大，但可能是未來的新興販運途徑。同樣的情況也發生在馬來西亞，以往馬來西亞大部分的鴉片類麻醉藥品均是源自緬甸，但近年也發現源自巴基斯坦，直接或經由杜拜間接販運至馬來西亞的海洛因，而馬來西亞也成為海洛因輸入澳洲的主要轉運站。以上情況說明，源自阿富汗的鴉片類麻醉藥品其供應地區已擴大。另有一條從西南亞至北美的新興販毒路線，近年加拿大查獲大量海洛因是來自西南亞，這些海洛因主要是從印度和巴基斯坦透過空運進入加拿大，安大略省和不列顛哥倫比亞省的組織犯罪集團涉及該海洛因的販運活動（UNODC, 2013）。表7為本文所歸納整理的鴉片類麻醉藥品的區域特徵及販運模式。</w:t>
      </w:r>
    </w:p>
    <w:p>
      <w:pPr>
        <w:spacing w:line="240" w:lineRule="auto"/>
        <w:ind w:firstLine="440"/>
        <w:rPr>
          <w:rFonts w:eastAsia="MingLiU"/>
          <w:sz w:val="22"/>
          <w:szCs w:val="22"/>
        </w:rPr>
      </w:pPr>
    </w:p>
    <w:p>
      <w:pPr>
        <w:ind w:left="0" w:leftChars="0" w:firstLine="0" w:firstLineChars="0"/>
        <w:jc w:val="center"/>
      </w:pPr>
      <w:r>
        <w:rPr>
          <w:rFonts w:hint="eastAsia" w:ascii="宋体" w:hAnsi="宋体" w:eastAsia="宋体" w:cs="宋体"/>
          <w:sz w:val="21"/>
          <w:szCs w:val="21"/>
        </w:rPr>
        <w:t>表7  鴉片類麻醉藥品的區域特徵及販運模式</w:t>
      </w:r>
    </w:p>
    <w:tbl>
      <w:tblPr>
        <w:tblStyle w:val="46"/>
        <w:tblW w:w="87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814"/>
        <w:gridCol w:w="1627"/>
        <w:gridCol w:w="3254"/>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735"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ind w:firstLine="0" w:firstLineChars="0"/>
              <w:jc w:val="center"/>
              <w:rPr>
                <w:rFonts w:ascii="宋体" w:hAnsi="宋体" w:eastAsia="宋体"/>
                <w:b/>
                <w:sz w:val="21"/>
                <w:szCs w:val="21"/>
              </w:rPr>
            </w:pPr>
            <w:r>
              <w:rPr>
                <w:rFonts w:ascii="宋体" w:hAnsi="宋体" w:eastAsia="宋体"/>
                <w:b/>
                <w:sz w:val="21"/>
                <w:szCs w:val="21"/>
              </w:rPr>
              <w:t>毒品</w:t>
            </w:r>
          </w:p>
          <w:p>
            <w:pPr>
              <w:widowControl/>
              <w:ind w:firstLine="0" w:firstLineChars="0"/>
              <w:jc w:val="center"/>
              <w:rPr>
                <w:rFonts w:ascii="宋体" w:hAnsi="宋体" w:eastAsia="宋体"/>
                <w:b/>
                <w:sz w:val="21"/>
                <w:szCs w:val="21"/>
              </w:rPr>
            </w:pPr>
            <w:r>
              <w:rPr>
                <w:rFonts w:ascii="宋体" w:hAnsi="宋体" w:eastAsia="宋体"/>
                <w:b/>
                <w:sz w:val="21"/>
                <w:szCs w:val="21"/>
              </w:rPr>
              <w:t>種類</w:t>
            </w:r>
          </w:p>
        </w:tc>
        <w:tc>
          <w:tcPr>
            <w:tcW w:w="1627"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ind w:firstLine="0" w:firstLineChars="0"/>
              <w:jc w:val="center"/>
              <w:rPr>
                <w:rFonts w:ascii="宋体" w:hAnsi="宋体" w:eastAsia="宋体"/>
                <w:b/>
                <w:sz w:val="21"/>
                <w:szCs w:val="21"/>
              </w:rPr>
            </w:pPr>
            <w:r>
              <w:rPr>
                <w:rFonts w:ascii="宋体" w:hAnsi="宋体" w:eastAsia="宋体"/>
                <w:b/>
                <w:sz w:val="21"/>
                <w:szCs w:val="21"/>
              </w:rPr>
              <w:t>施用人數</w:t>
            </w:r>
          </w:p>
        </w:tc>
        <w:tc>
          <w:tcPr>
            <w:tcW w:w="3254"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ind w:left="304" w:firstLine="0" w:firstLineChars="0"/>
              <w:jc w:val="center"/>
              <w:rPr>
                <w:rFonts w:ascii="宋体" w:hAnsi="宋体" w:eastAsia="宋体"/>
                <w:b/>
                <w:sz w:val="21"/>
                <w:szCs w:val="21"/>
              </w:rPr>
            </w:pPr>
            <w:r>
              <w:rPr>
                <w:rFonts w:ascii="宋体" w:hAnsi="宋体" w:eastAsia="宋体"/>
                <w:b/>
                <w:sz w:val="21"/>
                <w:szCs w:val="21"/>
              </w:rPr>
              <w:t>查獲地區</w:t>
            </w:r>
          </w:p>
        </w:tc>
        <w:tc>
          <w:tcPr>
            <w:tcW w:w="3091"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ind w:left="304" w:firstLine="0" w:firstLineChars="0"/>
              <w:jc w:val="center"/>
              <w:rPr>
                <w:rFonts w:ascii="宋体" w:hAnsi="宋体" w:eastAsia="宋体"/>
                <w:b/>
                <w:sz w:val="21"/>
                <w:szCs w:val="21"/>
              </w:rPr>
            </w:pPr>
            <w:r>
              <w:rPr>
                <w:rFonts w:ascii="宋体" w:hAnsi="宋体" w:eastAsia="宋体"/>
                <w:b/>
                <w:sz w:val="21"/>
                <w:szCs w:val="21"/>
              </w:rPr>
              <w:t>主要販運路線及特徵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1941"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ind w:right="113" w:firstLine="0" w:firstLineChars="0"/>
              <w:jc w:val="center"/>
              <w:rPr>
                <w:rFonts w:ascii="宋体" w:hAnsi="宋体" w:eastAsia="宋体"/>
                <w:sz w:val="21"/>
                <w:szCs w:val="21"/>
              </w:rPr>
            </w:pPr>
            <w:r>
              <w:rPr>
                <w:rFonts w:ascii="宋体" w:hAnsi="宋体" w:eastAsia="宋体"/>
                <w:sz w:val="21"/>
                <w:szCs w:val="21"/>
              </w:rPr>
              <w:t>鴉片</w:t>
            </w:r>
          </w:p>
        </w:tc>
        <w:tc>
          <w:tcPr>
            <w:tcW w:w="1627"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ascii="宋体" w:hAnsi="宋体" w:eastAsia="宋体"/>
                <w:sz w:val="21"/>
                <w:szCs w:val="21"/>
              </w:rPr>
            </w:pPr>
            <w:r>
              <w:rPr>
                <w:rFonts w:ascii="宋体" w:hAnsi="宋体" w:eastAsia="宋体"/>
                <w:sz w:val="21"/>
                <w:szCs w:val="21"/>
              </w:rPr>
              <w:t>1千6百50萬人，占全球15~64歲人口的0.4%。</w:t>
            </w:r>
          </w:p>
        </w:tc>
        <w:tc>
          <w:tcPr>
            <w:tcW w:w="3254" w:type="dxa"/>
            <w:tcBorders>
              <w:top w:val="single" w:color="auto" w:sz="4" w:space="0"/>
              <w:left w:val="single" w:color="auto" w:sz="4" w:space="0"/>
              <w:bottom w:val="single" w:color="auto" w:sz="4" w:space="0"/>
              <w:right w:val="single" w:color="auto" w:sz="4" w:space="0"/>
            </w:tcBorders>
            <w:vAlign w:val="top"/>
          </w:tcPr>
          <w:p>
            <w:pPr>
              <w:widowControl/>
              <w:numPr>
                <w:ilvl w:val="0"/>
                <w:numId w:val="7"/>
              </w:numPr>
              <w:tabs>
                <w:tab w:val="clear" w:pos="360"/>
              </w:tabs>
              <w:ind w:left="258" w:firstLine="0" w:firstLineChars="0"/>
              <w:rPr>
                <w:rFonts w:ascii="宋体" w:hAnsi="宋体" w:eastAsia="宋体"/>
                <w:sz w:val="21"/>
                <w:szCs w:val="21"/>
              </w:rPr>
            </w:pPr>
            <w:r>
              <w:rPr>
                <w:rFonts w:ascii="宋体" w:hAnsi="宋体" w:eastAsia="宋体"/>
                <w:sz w:val="21"/>
                <w:szCs w:val="21"/>
              </w:rPr>
              <w:t>阿富汗仍是全球鴉片首要生產國與種植國，占全球非法鴉片生產量的74%。。</w:t>
            </w:r>
          </w:p>
          <w:p>
            <w:pPr>
              <w:widowControl/>
              <w:numPr>
                <w:ilvl w:val="0"/>
                <w:numId w:val="7"/>
              </w:numPr>
              <w:tabs>
                <w:tab w:val="clear" w:pos="360"/>
              </w:tabs>
              <w:ind w:left="258" w:firstLine="0" w:firstLineChars="0"/>
              <w:rPr>
                <w:rFonts w:ascii="宋体" w:hAnsi="宋体" w:eastAsia="宋体"/>
                <w:sz w:val="21"/>
                <w:szCs w:val="21"/>
              </w:rPr>
            </w:pPr>
            <w:r>
              <w:rPr>
                <w:rFonts w:ascii="宋体" w:hAnsi="宋体" w:eastAsia="宋体"/>
                <w:sz w:val="21"/>
                <w:szCs w:val="21"/>
              </w:rPr>
              <w:t>墨西哥是美洲生產最多罌粟的國家。</w:t>
            </w:r>
          </w:p>
        </w:tc>
        <w:tc>
          <w:tcPr>
            <w:tcW w:w="3091" w:type="dxa"/>
            <w:vMerge w:val="restart"/>
            <w:tcBorders>
              <w:top w:val="single" w:color="auto" w:sz="4" w:space="0"/>
              <w:left w:val="single" w:color="auto" w:sz="4" w:space="0"/>
              <w:right w:val="single" w:color="auto" w:sz="4" w:space="0"/>
            </w:tcBorders>
            <w:vAlign w:val="top"/>
          </w:tcPr>
          <w:p>
            <w:pPr>
              <w:widowControl/>
              <w:numPr>
                <w:ilvl w:val="0"/>
                <w:numId w:val="8"/>
              </w:numPr>
              <w:tabs>
                <w:tab w:val="clear" w:pos="360"/>
              </w:tabs>
              <w:ind w:left="258" w:firstLine="0" w:firstLineChars="0"/>
              <w:rPr>
                <w:rFonts w:ascii="宋体" w:hAnsi="宋体" w:eastAsia="宋体"/>
                <w:sz w:val="21"/>
                <w:szCs w:val="21"/>
              </w:rPr>
            </w:pPr>
            <w:r>
              <w:rPr>
                <w:rFonts w:ascii="宋体" w:hAnsi="宋体" w:eastAsia="宋体"/>
                <w:sz w:val="21"/>
                <w:szCs w:val="21"/>
              </w:rPr>
              <w:t>最主要販運路線：從阿富汗經鄰國販運至中東、非洲和到歐洲等地區。</w:t>
            </w:r>
          </w:p>
          <w:p>
            <w:pPr>
              <w:widowControl/>
              <w:numPr>
                <w:ilvl w:val="0"/>
                <w:numId w:val="8"/>
              </w:numPr>
              <w:tabs>
                <w:tab w:val="clear" w:pos="360"/>
              </w:tabs>
              <w:ind w:left="258" w:firstLine="0" w:firstLineChars="0"/>
              <w:rPr>
                <w:rFonts w:ascii="宋体" w:hAnsi="宋体" w:eastAsia="宋体"/>
                <w:sz w:val="21"/>
                <w:szCs w:val="21"/>
              </w:rPr>
            </w:pPr>
            <w:r>
              <w:rPr>
                <w:rFonts w:ascii="宋体" w:hAnsi="宋体" w:eastAsia="宋体"/>
                <w:sz w:val="21"/>
                <w:szCs w:val="21"/>
              </w:rPr>
              <w:t>第二販運路線：從緬甸和寮國至大陸地區及澳洲等地。</w:t>
            </w:r>
          </w:p>
          <w:p>
            <w:pPr>
              <w:widowControl/>
              <w:numPr>
                <w:ilvl w:val="0"/>
                <w:numId w:val="8"/>
              </w:numPr>
              <w:tabs>
                <w:tab w:val="clear" w:pos="360"/>
              </w:tabs>
              <w:ind w:left="258" w:firstLine="0" w:firstLineChars="0"/>
              <w:rPr>
                <w:rFonts w:ascii="宋体" w:hAnsi="宋体" w:eastAsia="宋体"/>
                <w:sz w:val="21"/>
                <w:szCs w:val="21"/>
              </w:rPr>
            </w:pPr>
            <w:r>
              <w:rPr>
                <w:rFonts w:ascii="宋体" w:hAnsi="宋体" w:eastAsia="宋体"/>
                <w:sz w:val="21"/>
                <w:szCs w:val="21"/>
              </w:rPr>
              <w:t>第三販運路線：從拉丁美洲（墨西哥、哥倫比亞、瓜地馬拉和秘魯）到美國。</w:t>
            </w:r>
          </w:p>
          <w:p>
            <w:pPr>
              <w:widowControl/>
              <w:numPr>
                <w:ilvl w:val="0"/>
                <w:numId w:val="8"/>
              </w:numPr>
              <w:tabs>
                <w:tab w:val="clear" w:pos="360"/>
              </w:tabs>
              <w:ind w:left="258" w:firstLine="0" w:firstLineChars="0"/>
              <w:rPr>
                <w:rFonts w:ascii="宋体" w:hAnsi="宋体" w:eastAsia="宋体"/>
                <w:sz w:val="21"/>
                <w:szCs w:val="21"/>
              </w:rPr>
            </w:pPr>
            <w:r>
              <w:rPr>
                <w:rFonts w:ascii="宋体" w:hAnsi="宋体" w:eastAsia="宋体"/>
                <w:sz w:val="21"/>
                <w:szCs w:val="21"/>
              </w:rPr>
              <w:t>新的陸運路線：從阿富汗途經伊朗或巴基斯坦向南，並且途經伊拉克穿越中東</w:t>
            </w:r>
            <w:r>
              <w:rPr>
                <w:rFonts w:ascii="宋体" w:hAnsi="宋体" w:eastAsia="宋体"/>
                <w:bCs/>
                <w:sz w:val="21"/>
                <w:szCs w:val="21"/>
              </w:rPr>
              <w:t>。</w:t>
            </w:r>
          </w:p>
          <w:p>
            <w:pPr>
              <w:widowControl/>
              <w:numPr>
                <w:ilvl w:val="0"/>
                <w:numId w:val="8"/>
              </w:numPr>
              <w:tabs>
                <w:tab w:val="clear" w:pos="360"/>
              </w:tabs>
              <w:ind w:left="258" w:firstLine="0" w:firstLineChars="0"/>
              <w:rPr>
                <w:rFonts w:ascii="宋体" w:hAnsi="宋体" w:eastAsia="宋体"/>
                <w:sz w:val="21"/>
                <w:szCs w:val="21"/>
              </w:rPr>
            </w:pPr>
            <w:r>
              <w:rPr>
                <w:rFonts w:ascii="宋体" w:hAnsi="宋体" w:eastAsia="宋体"/>
                <w:sz w:val="21"/>
                <w:szCs w:val="21"/>
              </w:rPr>
              <w:t>海上販運路線：從阿富汗開始，途經伊朗或巴基斯坦的港口，再往南開通過東非和西非的港口抵達消費者市場</w:t>
            </w:r>
            <w:r>
              <w:rPr>
                <w:rFonts w:ascii="宋体" w:hAnsi="宋体" w:eastAsia="宋体"/>
                <w:bCs/>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7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ind w:right="113" w:firstLine="0" w:firstLineChars="0"/>
              <w:jc w:val="center"/>
              <w:rPr>
                <w:rFonts w:eastAsia="MingLiU"/>
                <w:sz w:val="21"/>
                <w:szCs w:val="21"/>
              </w:rPr>
            </w:pPr>
            <w:r>
              <w:rPr>
                <w:rFonts w:hAnsi="MingLiU" w:eastAsia="MingLiU"/>
                <w:sz w:val="21"/>
                <w:szCs w:val="21"/>
              </w:rPr>
              <w:t>嗎啡及海洛因</w:t>
            </w:r>
          </w:p>
        </w:tc>
        <w:tc>
          <w:tcPr>
            <w:tcW w:w="1627"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eastAsia="MingLiU"/>
                <w:sz w:val="21"/>
                <w:szCs w:val="21"/>
              </w:rPr>
            </w:pPr>
          </w:p>
        </w:tc>
        <w:tc>
          <w:tcPr>
            <w:tcW w:w="3254" w:type="dxa"/>
            <w:tcBorders>
              <w:top w:val="single" w:color="auto" w:sz="4" w:space="0"/>
              <w:left w:val="single" w:color="auto" w:sz="4" w:space="0"/>
              <w:bottom w:val="single" w:color="auto" w:sz="4" w:space="0"/>
              <w:right w:val="single" w:color="auto" w:sz="4" w:space="0"/>
            </w:tcBorders>
            <w:vAlign w:val="top"/>
          </w:tcPr>
          <w:p>
            <w:pPr>
              <w:widowControl/>
              <w:numPr>
                <w:ilvl w:val="0"/>
                <w:numId w:val="9"/>
              </w:numPr>
              <w:tabs>
                <w:tab w:val="clear" w:pos="360"/>
              </w:tabs>
              <w:ind w:left="258" w:firstLine="0" w:firstLineChars="0"/>
              <w:rPr>
                <w:rFonts w:eastAsia="MingLiU"/>
                <w:sz w:val="21"/>
                <w:szCs w:val="21"/>
              </w:rPr>
            </w:pPr>
            <w:r>
              <w:rPr>
                <w:rFonts w:hAnsi="MingLiU" w:eastAsia="MingLiU"/>
                <w:sz w:val="21"/>
                <w:szCs w:val="21"/>
              </w:rPr>
              <w:t>全球嗎啡和海洛因的查獲量有所增加，但包括土耳其、西歐和中歐等國家或地區的查獲量有所下降。</w:t>
            </w:r>
          </w:p>
          <w:p>
            <w:pPr>
              <w:widowControl/>
              <w:numPr>
                <w:ilvl w:val="0"/>
                <w:numId w:val="9"/>
              </w:numPr>
              <w:tabs>
                <w:tab w:val="clear" w:pos="360"/>
              </w:tabs>
              <w:ind w:left="258" w:firstLine="0" w:firstLineChars="0"/>
              <w:rPr>
                <w:rFonts w:eastAsia="MingLiU"/>
                <w:sz w:val="21"/>
                <w:szCs w:val="21"/>
              </w:rPr>
            </w:pPr>
            <w:r>
              <w:rPr>
                <w:rFonts w:hAnsi="MingLiU" w:eastAsia="MingLiU"/>
                <w:sz w:val="21"/>
                <w:szCs w:val="21"/>
              </w:rPr>
              <w:t>在中東地區，敘利亞及沙烏地阿拉伯的海洛因查獲量都有增加。</w:t>
            </w:r>
          </w:p>
          <w:p>
            <w:pPr>
              <w:widowControl/>
              <w:numPr>
                <w:ilvl w:val="0"/>
                <w:numId w:val="9"/>
              </w:numPr>
              <w:tabs>
                <w:tab w:val="clear" w:pos="360"/>
              </w:tabs>
              <w:ind w:left="258" w:firstLine="0" w:firstLineChars="0"/>
              <w:rPr>
                <w:rFonts w:eastAsia="MingLiU"/>
                <w:sz w:val="21"/>
                <w:szCs w:val="21"/>
              </w:rPr>
            </w:pPr>
            <w:r>
              <w:rPr>
                <w:rFonts w:hAnsi="MingLiU" w:eastAsia="MingLiU"/>
                <w:sz w:val="21"/>
                <w:szCs w:val="21"/>
              </w:rPr>
              <w:t>自</w:t>
            </w:r>
            <w:r>
              <w:rPr>
                <w:rFonts w:eastAsia="MingLiU"/>
                <w:sz w:val="21"/>
                <w:szCs w:val="21"/>
              </w:rPr>
              <w:t>2009</w:t>
            </w:r>
            <w:r>
              <w:rPr>
                <w:rFonts w:hAnsi="MingLiU" w:eastAsia="MingLiU"/>
                <w:sz w:val="21"/>
                <w:szCs w:val="21"/>
              </w:rPr>
              <w:t>年以來，在東非地區海洛因的查獲量幾乎增加了十倍。</w:t>
            </w:r>
          </w:p>
        </w:tc>
        <w:tc>
          <w:tcPr>
            <w:tcW w:w="3091" w:type="dxa"/>
            <w:vMerge w:val="continue"/>
            <w:tcBorders>
              <w:left w:val="single" w:color="auto" w:sz="4" w:space="0"/>
              <w:bottom w:val="single" w:color="auto" w:sz="4" w:space="0"/>
              <w:right w:val="single" w:color="auto" w:sz="4" w:space="0"/>
            </w:tcBorders>
            <w:vAlign w:val="top"/>
          </w:tcPr>
          <w:p>
            <w:pPr>
              <w:widowControl/>
              <w:numPr>
                <w:ilvl w:val="0"/>
                <w:numId w:val="8"/>
              </w:numPr>
              <w:ind w:firstLine="0" w:firstLineChars="0"/>
              <w:rPr>
                <w:rFonts w:eastAsia="MingLiU"/>
                <w:sz w:val="21"/>
                <w:szCs w:val="21"/>
              </w:rPr>
            </w:pPr>
          </w:p>
        </w:tc>
      </w:tr>
    </w:tbl>
    <w:p>
      <w:pPr>
        <w:spacing w:before="163" w:beforeLines="50" w:line="240" w:lineRule="auto"/>
        <w:ind w:left="900" w:hanging="900" w:hangingChars="450"/>
        <w:rPr>
          <w:rFonts w:hint="eastAsia" w:ascii="宋体" w:hAnsi="宋体" w:eastAsia="宋体" w:cs="宋体"/>
          <w:sz w:val="21"/>
          <w:szCs w:val="21"/>
        </w:rPr>
      </w:pPr>
      <w:r>
        <w:rPr>
          <w:rFonts w:hint="eastAsia" w:ascii="宋体" w:hAnsi="宋体" w:eastAsia="宋体" w:cs="宋体"/>
          <w:sz w:val="21"/>
          <w:szCs w:val="21"/>
        </w:rPr>
        <w:t xml:space="preserve">資料來源：整理自Kethineni, S. (2010). </w:t>
      </w:r>
      <w:r>
        <w:rPr>
          <w:rFonts w:hint="eastAsia" w:ascii="宋体" w:hAnsi="宋体" w:eastAsia="宋体" w:cs="宋体"/>
          <w:i/>
          <w:sz w:val="21"/>
          <w:szCs w:val="21"/>
        </w:rPr>
        <w:t>Comparative and international policing, justice, and transnational crime</w:t>
      </w:r>
      <w:r>
        <w:rPr>
          <w:rFonts w:hint="eastAsia" w:ascii="宋体" w:hAnsi="宋体" w:eastAsia="宋体" w:cs="宋体"/>
          <w:sz w:val="21"/>
          <w:szCs w:val="21"/>
        </w:rPr>
        <w:t xml:space="preserve">. Durham, NC: Carolina Academic Press.以及UNODC (2013). </w:t>
      </w:r>
      <w:r>
        <w:rPr>
          <w:rFonts w:hint="eastAsia" w:ascii="宋体" w:hAnsi="宋体" w:eastAsia="宋体" w:cs="宋体"/>
          <w:i/>
          <w:sz w:val="21"/>
          <w:szCs w:val="21"/>
        </w:rPr>
        <w:t>World Drug Report 2013</w:t>
      </w:r>
      <w:r>
        <w:rPr>
          <w:rFonts w:hint="eastAsia" w:ascii="宋体" w:hAnsi="宋体" w:eastAsia="宋体" w:cs="宋体"/>
          <w:sz w:val="21"/>
          <w:szCs w:val="21"/>
        </w:rPr>
        <w:t>.</w:t>
      </w:r>
    </w:p>
    <w:p>
      <w:pPr>
        <w:spacing w:line="240" w:lineRule="auto"/>
        <w:ind w:firstLine="440"/>
        <w:rPr>
          <w:rFonts w:eastAsia="MingLiU"/>
          <w:sz w:val="22"/>
          <w:szCs w:val="22"/>
        </w:rPr>
      </w:pPr>
    </w:p>
    <w:p>
      <w:pPr>
        <w:pStyle w:val="5"/>
        <w:ind w:firstLine="480"/>
      </w:pPr>
      <w:r>
        <w:t>四、安非他命型興奮劑（安非他命類毒品及MDMA類毒品）</w:t>
      </w:r>
    </w:p>
    <w:p>
      <w:pPr>
        <w:ind w:firstLine="480"/>
        <w:rPr>
          <w:rFonts w:hint="eastAsia" w:ascii="宋体" w:hAnsi="宋体" w:eastAsia="宋体" w:cs="宋体"/>
        </w:rPr>
      </w:pPr>
      <w:r>
        <w:rPr>
          <w:rFonts w:hint="eastAsia" w:ascii="宋体" w:hAnsi="宋体" w:eastAsia="宋体" w:cs="宋体"/>
        </w:rPr>
        <w:t>安非他命型興奮劑為安非他命類毒品以及MDMA類毒品的總稱，包含多種導致中樞神經興奮的化學合成物質。其中最常見的有甲基安非他命、安非他命以及MDMA。UNODC（2013）估計全球15~64歲施用安非他命類毒品（不包含MDMA類毒品）人數約有3千3百80萬人，占全球15~64歲人口的0.7%。安非他命類毒品具地區性的區別，在東亞和東南亞地區，施用者以甲基安非他命為主；在近東和中東地區，施用者以內含安非他命的非法偽藥為主；在歐洲，施用者以安非他命為主。而施用MDMA類毒品人數約有1千9百40萬人，占全球15~64歲人口的0.4%。</w:t>
      </w:r>
    </w:p>
    <w:p>
      <w:pPr>
        <w:ind w:firstLine="480"/>
      </w:pPr>
      <w:r>
        <w:rPr>
          <w:rFonts w:hint="eastAsia" w:ascii="宋体" w:hAnsi="宋体" w:eastAsia="宋体" w:cs="宋体"/>
        </w:rPr>
        <w:t>就全球而言，2011年查獲量升至新高的123噸，比2010年同期（74噸）上升66%，是2005年（60噸）以來的兩倍，詳如圖8。在亞洲、北美及歐洲都有顯著的成長。安非他命型興奮劑查獲量的增加，與甲基安非他命查獲量的增加（占71%）有關，其查獲量從2010年的51噸上升到2011年的88噸，成長了73%。甲基安非他命查獲最多的國家為墨西哥，其查獲量從13噸上升到31噸，首次超越了美國。而增加最多的地區分別為美洲（28噸到54噸）、亞洲（21噸到32噸）及歐洲（576公斤到2噸）。東亞及東南亞也持續占據全球甲基安非他命市場的部分，查獲量最多</w:t>
      </w:r>
      <w:r>
        <w:rPr>
          <w:rFonts w:hint="eastAsia" w:ascii="宋体" w:hAnsi="宋体" w:eastAsia="宋体" w:cs="宋体"/>
          <w:spacing w:val="-4"/>
        </w:rPr>
        <w:t>依序為大陸地區（14噸）、泰國（10噸）、印尼（1噸）及馬來西亞（1噸），詳見圖9。</w:t>
      </w:r>
    </w:p>
    <w:p>
      <w:pPr>
        <w:spacing w:line="240" w:lineRule="auto"/>
        <w:ind w:firstLine="440"/>
        <w:rPr>
          <w:rFonts w:eastAsia="MingLiU"/>
          <w:sz w:val="22"/>
          <w:szCs w:val="22"/>
        </w:rPr>
      </w:pPr>
    </w:p>
    <w:p>
      <w:pPr>
        <w:spacing w:line="240" w:lineRule="auto"/>
        <w:ind w:firstLine="0" w:firstLineChars="0"/>
        <w:rPr>
          <w:rFonts w:eastAsia="PMingLiU"/>
        </w:rPr>
      </w:pPr>
      <w:r>
        <w:rPr>
          <w:rFonts w:ascii="Times New Roman" w:hAnsi="Times New Roman" w:eastAsia="宋体" w:cs="Times New Roman"/>
          <w:kern w:val="2"/>
          <w:sz w:val="24"/>
          <w:szCs w:val="24"/>
          <w:lang w:val="en-US" w:eastAsia="zh-CN" w:bidi="ar-SA"/>
        </w:rPr>
        <w:pict>
          <v:shape id="Quad Arrow 370" o:spid="_x0000_s1051" type="#_x0000_t202" style="position:absolute;left:0;margin-left:95.2pt;margin-top:166.65pt;height:56.45pt;width:133.05pt;rotation:0f;z-index:251672576;" o:ole="f" fillcolor="#FFFFFF" filled="f" o:preferrelative="t" stroked="f" coordorigin="0,0" coordsize="21600,21600">
            <v:fill on="f" color2="#FFFFFF" focus="0%"/>
            <v:imagedata gain="65536f" blacklevel="0f" gamma="0"/>
            <o:lock v:ext="edit" position="f" selection="f" grouping="f" rotation="f" cropping="f" text="f" aspectratio="f"/>
            <v:textbox>
              <w:txbxContent>
                <w:p>
                  <w:pPr>
                    <w:spacing w:line="240" w:lineRule="atLeast"/>
                    <w:ind w:firstLine="360"/>
                    <w:rPr>
                      <w:sz w:val="18"/>
                      <w:szCs w:val="18"/>
                    </w:rPr>
                  </w:pPr>
                  <w:r>
                    <w:rPr>
                      <w:rFonts w:hint="eastAsia"/>
                      <w:sz w:val="18"/>
                      <w:szCs w:val="18"/>
                    </w:rPr>
                    <w:t>總查獲量</w:t>
                  </w:r>
                </w:p>
                <w:p>
                  <w:pPr>
                    <w:spacing w:line="240" w:lineRule="atLeast"/>
                    <w:ind w:firstLine="360"/>
                    <w:rPr>
                      <w:sz w:val="18"/>
                      <w:szCs w:val="18"/>
                    </w:rPr>
                  </w:pPr>
                  <w:r>
                    <w:rPr>
                      <w:rFonts w:hint="eastAsia"/>
                      <w:sz w:val="18"/>
                      <w:szCs w:val="18"/>
                    </w:rPr>
                    <w:t>安非他命查獲量</w:t>
                  </w:r>
                </w:p>
                <w:p>
                  <w:pPr>
                    <w:spacing w:line="240" w:lineRule="atLeast"/>
                    <w:ind w:firstLine="360"/>
                    <w:rPr>
                      <w:sz w:val="18"/>
                      <w:szCs w:val="18"/>
                    </w:rPr>
                  </w:pPr>
                  <w:r>
                    <w:rPr>
                      <w:sz w:val="18"/>
                      <w:szCs w:val="18"/>
                    </w:rPr>
                    <w:t>MDMA</w:t>
                  </w:r>
                  <w:r>
                    <w:rPr>
                      <w:rFonts w:hint="eastAsia"/>
                      <w:sz w:val="18"/>
                      <w:szCs w:val="18"/>
                    </w:rPr>
                    <w:t>類毒品查獲量</w:t>
                  </w:r>
                </w:p>
                <w:p>
                  <w:pPr>
                    <w:spacing w:line="240" w:lineRule="atLeast"/>
                    <w:ind w:firstLine="360"/>
                    <w:rPr>
                      <w:sz w:val="18"/>
                      <w:szCs w:val="18"/>
                    </w:rPr>
                  </w:pPr>
                  <w:r>
                    <w:rPr>
                      <w:rFonts w:hint="eastAsia"/>
                      <w:sz w:val="18"/>
                      <w:szCs w:val="18"/>
                    </w:rPr>
                    <w:t>甲基安非他命查獲量</w:t>
                  </w:r>
                </w:p>
              </w:txbxContent>
            </v:textbox>
          </v:shape>
        </w:pict>
      </w:r>
      <w:r>
        <w:rPr>
          <w:rFonts w:ascii="Times New Roman" w:hAnsi="Times New Roman" w:eastAsia="宋体" w:cs="Times New Roman"/>
          <w:kern w:val="2"/>
          <w:sz w:val="24"/>
          <w:szCs w:val="24"/>
          <w:lang w:val="en-US" w:eastAsia="zh-CN" w:bidi="ar-SA"/>
        </w:rPr>
        <w:pict>
          <v:shape id="Quad Arrow 369" o:spid="_x0000_s1052" type="#_x0000_t202" style="position:absolute;left:0;margin-left:-0.15pt;margin-top:11.5pt;height:134.25pt;width:49.55pt;rotation:0f;z-index:251671552;"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ind w:firstLine="440"/>
                    <w:rPr>
                      <w:sz w:val="22"/>
                      <w:szCs w:val="22"/>
                    </w:rPr>
                  </w:pPr>
                  <w:r>
                    <w:rPr>
                      <w:rFonts w:hint="eastAsia"/>
                      <w:sz w:val="22"/>
                      <w:szCs w:val="22"/>
                    </w:rPr>
                    <w:t>單位：噸</w:t>
                  </w:r>
                </w:p>
              </w:txbxContent>
            </v:textbox>
          </v:shape>
        </w:pict>
      </w:r>
      <w:r>
        <w:rPr>
          <w:rFonts w:hint="eastAsia" w:ascii="Times New Roman" w:hAnsi="Times New Roman" w:eastAsia="PMingLiU" w:cs="Times New Roman"/>
          <w:kern w:val="2"/>
          <w:sz w:val="24"/>
          <w:szCs w:val="24"/>
          <w:lang w:val="en-US" w:eastAsia="zh-CN" w:bidi="ar-SA"/>
        </w:rPr>
        <w:pict>
          <v:shape id="图片 8" o:spid="_x0000_s1053" type="#_x0000_t75" style="height:217.5pt;width:372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p>
      <w:pPr>
        <w:ind w:firstLine="440"/>
        <w:rPr>
          <w:rFonts w:hint="eastAsia" w:ascii="宋体" w:hAnsi="宋体" w:eastAsia="宋体" w:cs="宋体"/>
          <w:sz w:val="21"/>
          <w:szCs w:val="21"/>
        </w:rPr>
      </w:pPr>
      <w:r>
        <w:rPr>
          <w:rFonts w:hint="eastAsia" w:ascii="宋体" w:hAnsi="宋体" w:eastAsia="宋体" w:cs="宋体"/>
          <w:sz w:val="21"/>
          <w:szCs w:val="21"/>
        </w:rPr>
        <w:t xml:space="preserve">資料來源：UNODC (2013). </w:t>
      </w:r>
      <w:r>
        <w:rPr>
          <w:rFonts w:hint="eastAsia" w:ascii="宋体" w:hAnsi="宋体" w:eastAsia="宋体" w:cs="宋体"/>
          <w:i/>
          <w:sz w:val="21"/>
          <w:szCs w:val="21"/>
        </w:rPr>
        <w:t>World Drug Report 2013</w:t>
      </w:r>
      <w:r>
        <w:rPr>
          <w:rFonts w:hint="eastAsia" w:ascii="宋体" w:hAnsi="宋体" w:eastAsia="宋体" w:cs="宋体"/>
          <w:sz w:val="21"/>
          <w:szCs w:val="21"/>
        </w:rPr>
        <w:t>.</w:t>
      </w:r>
    </w:p>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圖8  近10年安非他命型興奮劑查獲量</w:t>
      </w:r>
    </w:p>
    <w:p>
      <w:pPr>
        <w:ind w:firstLine="440"/>
        <w:jc w:val="center"/>
        <w:rPr>
          <w:rFonts w:eastAsia="MingLiU"/>
          <w:sz w:val="22"/>
          <w:szCs w:val="22"/>
        </w:rPr>
      </w:pPr>
    </w:p>
    <w:p>
      <w:pPr>
        <w:ind w:firstLine="440"/>
        <w:rPr>
          <w:rFonts w:eastAsia="MingLiU"/>
          <w:sz w:val="22"/>
          <w:szCs w:val="22"/>
        </w:rPr>
      </w:pPr>
    </w:p>
    <w:p>
      <w:pPr>
        <w:spacing w:line="240" w:lineRule="auto"/>
        <w:ind w:firstLine="0" w:firstLineChars="0"/>
        <w:jc w:val="center"/>
        <w:rPr>
          <w:rFonts w:eastAsia="PMingLiU"/>
        </w:rPr>
      </w:pPr>
      <w:r>
        <w:rPr>
          <w:rFonts w:ascii="Times New Roman" w:hAnsi="Times New Roman" w:eastAsia="宋体" w:cs="Times New Roman"/>
          <w:kern w:val="2"/>
          <w:sz w:val="24"/>
          <w:szCs w:val="24"/>
          <w:lang w:val="en-US" w:eastAsia="zh-CN" w:bidi="ar-SA"/>
        </w:rPr>
        <w:pict>
          <v:shape id="Quad Arrow 372" o:spid="_x0000_s1054" type="#_x0000_t202" style="position:absolute;left:0;margin-left:75.95pt;margin-top:159.85pt;height:26.5pt;width:349.9pt;rotation:0f;z-index:251674624;" o:ole="f" fillcolor="#FFFFFF" filled="f" o:preferrelative="t" stroked="f" coordorigin="0,0" coordsize="21600,21600">
            <v:fill on="f" color2="#FFFFFF" focus="0%"/>
            <v:imagedata gain="65536f" blacklevel="0f" gamma="0"/>
            <o:lock v:ext="edit" position="f" selection="f" grouping="f" rotation="f" cropping="f" text="f" aspectratio="f"/>
            <v:textbox>
              <w:txbxContent>
                <w:p>
                  <w:pPr>
                    <w:ind w:firstLine="600" w:firstLineChars="250"/>
                  </w:pPr>
                  <w:r>
                    <w:rPr>
                      <w:rFonts w:hint="eastAsia"/>
                    </w:rPr>
                    <w:t>墨西哥</w:t>
                  </w:r>
                  <w:r>
                    <w:t xml:space="preserve">     </w:t>
                  </w:r>
                  <w:r>
                    <w:rPr>
                      <w:rFonts w:hint="eastAsia"/>
                    </w:rPr>
                    <w:t>美國</w:t>
                  </w:r>
                  <w:r>
                    <w:t xml:space="preserve">    </w:t>
                  </w:r>
                  <w:r>
                    <w:rPr>
                      <w:rFonts w:hint="eastAsia"/>
                    </w:rPr>
                    <w:t>大陸地區</w:t>
                  </w:r>
                  <w:r>
                    <w:t xml:space="preserve">    </w:t>
                  </w:r>
                  <w:r>
                    <w:rPr>
                      <w:rFonts w:hint="eastAsia"/>
                    </w:rPr>
                    <w:t>泰國</w:t>
                  </w:r>
                  <w:r>
                    <w:t xml:space="preserve">      </w:t>
                  </w:r>
                  <w:r>
                    <w:rPr>
                      <w:rFonts w:hint="eastAsia"/>
                    </w:rPr>
                    <w:t>伊朗</w:t>
                  </w:r>
                </w:p>
              </w:txbxContent>
            </v:textbox>
          </v:shape>
        </w:pict>
      </w:r>
      <w:r>
        <w:rPr>
          <w:rFonts w:ascii="Times New Roman" w:hAnsi="Times New Roman" w:eastAsia="宋体" w:cs="Times New Roman"/>
          <w:kern w:val="2"/>
          <w:sz w:val="24"/>
          <w:szCs w:val="24"/>
          <w:lang w:val="en-US" w:eastAsia="zh-CN" w:bidi="ar-SA"/>
        </w:rPr>
        <w:pict>
          <v:shape id="Quad Arrow 371" o:spid="_x0000_s1055" type="#_x0000_t202" style="position:absolute;left:0;margin-left:22.35pt;margin-top:33.8pt;height:145.15pt;width:44.35pt;rotation:0f;z-index:251673600;"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ind w:firstLine="560"/>
                    <w:jc w:val="center"/>
                    <w:rPr>
                      <w:sz w:val="28"/>
                      <w:szCs w:val="28"/>
                    </w:rPr>
                  </w:pPr>
                  <w:r>
                    <w:rPr>
                      <w:rFonts w:hint="eastAsia"/>
                      <w:sz w:val="28"/>
                      <w:szCs w:val="28"/>
                    </w:rPr>
                    <w:t>查獲量（噸）</w:t>
                  </w:r>
                </w:p>
              </w:txbxContent>
            </v:textbox>
          </v:shape>
        </w:pict>
      </w:r>
      <w:r>
        <w:rPr>
          <w:rFonts w:hint="eastAsia" w:ascii="Times New Roman" w:hAnsi="Times New Roman" w:eastAsia="PMingLiU" w:cs="Times New Roman"/>
          <w:kern w:val="2"/>
          <w:sz w:val="24"/>
          <w:szCs w:val="24"/>
          <w:lang w:val="en-US" w:eastAsia="zh-CN" w:bidi="ar-SA"/>
        </w:rPr>
        <w:pict>
          <v:shape id="图片 9" o:spid="_x0000_s1056" type="#_x0000_t75" style="height:190.55pt;width:377pt;rotation:0f;" o:ole="f" fillcolor="#FFFFFF" filled="f" o:preferrelative="t" stroked="f" coordorigin="0,0" coordsize="21600,21600">
            <v:fill on="f" color2="#FFFFFF" focus="0%"/>
            <v:imagedata cropbottom="8608f" gain="65536f" blacklevel="0f" gamma="0" o:title="" r:id="rId21"/>
            <o:lock v:ext="edit" position="f" selection="f" grouping="f" rotation="f" cropping="f" text="f" aspectratio="t"/>
            <w10:wrap type="none"/>
            <w10:anchorlock/>
          </v:shape>
        </w:pict>
      </w:r>
    </w:p>
    <w:p>
      <w:pPr>
        <w:spacing w:line="240" w:lineRule="auto"/>
        <w:ind w:firstLine="440"/>
        <w:rPr>
          <w:rFonts w:hint="eastAsia" w:ascii="宋体" w:hAnsi="宋体" w:eastAsia="宋体" w:cs="宋体"/>
          <w:sz w:val="21"/>
          <w:szCs w:val="21"/>
        </w:rPr>
      </w:pPr>
      <w:r>
        <w:rPr>
          <w:rFonts w:hint="eastAsia" w:ascii="宋体" w:hAnsi="宋体" w:eastAsia="宋体" w:cs="宋体"/>
          <w:sz w:val="21"/>
          <w:szCs w:val="21"/>
        </w:rPr>
        <w:t xml:space="preserve">資料來源：UNODC (2013). </w:t>
      </w:r>
      <w:r>
        <w:rPr>
          <w:rFonts w:hint="eastAsia" w:ascii="宋体" w:hAnsi="宋体" w:eastAsia="宋体" w:cs="宋体"/>
          <w:i/>
          <w:sz w:val="21"/>
          <w:szCs w:val="21"/>
        </w:rPr>
        <w:t>World Drug Report 2013</w:t>
      </w:r>
      <w:r>
        <w:rPr>
          <w:rFonts w:hint="eastAsia" w:ascii="宋体" w:hAnsi="宋体" w:eastAsia="宋体" w:cs="宋体"/>
          <w:sz w:val="21"/>
          <w:szCs w:val="21"/>
        </w:rPr>
        <w:t>.</w:t>
      </w:r>
    </w:p>
    <w:p>
      <w:pPr>
        <w:ind w:left="0" w:leftChars="0" w:firstLine="0" w:firstLineChars="0"/>
        <w:jc w:val="center"/>
      </w:pPr>
      <w:r>
        <w:rPr>
          <w:rFonts w:hint="eastAsia" w:ascii="宋体" w:hAnsi="宋体" w:eastAsia="宋体" w:cs="宋体"/>
          <w:sz w:val="21"/>
          <w:szCs w:val="21"/>
        </w:rPr>
        <w:t>圖9  主要查獲甲基安非他命的地區</w:t>
      </w:r>
    </w:p>
    <w:p>
      <w:pPr>
        <w:ind w:firstLine="480"/>
      </w:pPr>
      <w:r>
        <w:rPr>
          <w:rFonts w:hint="eastAsia" w:ascii="宋体" w:hAnsi="宋体" w:eastAsia="宋体" w:cs="宋体"/>
        </w:rPr>
        <w:t>安非他命的查獲量也有所增加，最顯著是在中東及西南亞地區，從2010年的14噸上升到2011年的20噸。查獲最多的地區為中東地區，占全球查獲量的64%，查獲的形式是Captagon藥丸，顯著增加的地區為約旦、科威特、卡達、沙烏地阿拉伯及敘利亞，詳如圖10。查獲最多的國家為沙烏地阿拉伯（11噸，占總查獲量37%）、敘利亞（4噸）及約旦（4噸）。在歐洲地區，俄羅斯的查獲量從2010年的142公斤上升到2011年的2噸。</w:t>
      </w:r>
    </w:p>
    <w:p>
      <w:pPr>
        <w:spacing w:line="240" w:lineRule="auto"/>
        <w:ind w:firstLine="440"/>
        <w:rPr>
          <w:rFonts w:eastAsia="MingLiU"/>
          <w:sz w:val="22"/>
          <w:szCs w:val="22"/>
        </w:rPr>
      </w:pPr>
    </w:p>
    <w:p>
      <w:pPr>
        <w:spacing w:line="240" w:lineRule="auto"/>
        <w:ind w:firstLine="0" w:firstLineChars="0"/>
        <w:jc w:val="center"/>
        <w:rPr>
          <w:rFonts w:eastAsia="PMingLiU"/>
        </w:rPr>
      </w:pPr>
      <w:r>
        <w:rPr>
          <w:rFonts w:ascii="Times New Roman" w:hAnsi="Times New Roman" w:eastAsia="宋体" w:cs="Times New Roman"/>
          <w:kern w:val="2"/>
          <w:sz w:val="24"/>
          <w:szCs w:val="24"/>
          <w:lang w:val="en-US" w:eastAsia="zh-CN" w:bidi="ar-SA"/>
        </w:rPr>
        <w:pict>
          <v:shape id="Quad Arrow 373" o:spid="_x0000_s1057" type="#_x0000_t202" style="position:absolute;left:0;margin-left:19.05pt;margin-top:22.5pt;height:145.15pt;width:44.35pt;rotation:0f;z-index:251675648;"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ind w:firstLine="440"/>
                    <w:jc w:val="center"/>
                    <w:rPr>
                      <w:sz w:val="22"/>
                      <w:szCs w:val="22"/>
                    </w:rPr>
                  </w:pPr>
                  <w:r>
                    <w:rPr>
                      <w:rFonts w:hint="eastAsia"/>
                      <w:sz w:val="22"/>
                      <w:szCs w:val="22"/>
                    </w:rPr>
                    <w:t>查獲量（噸）</w:t>
                  </w:r>
                </w:p>
              </w:txbxContent>
            </v:textbox>
          </v:shape>
        </w:pict>
      </w:r>
      <w:r>
        <w:rPr>
          <w:rFonts w:ascii="Times New Roman" w:hAnsi="Times New Roman" w:eastAsia="宋体" w:cs="Times New Roman"/>
          <w:kern w:val="2"/>
          <w:sz w:val="24"/>
          <w:szCs w:val="24"/>
          <w:lang w:val="en-US" w:eastAsia="zh-CN" w:bidi="ar-SA"/>
        </w:rPr>
        <w:pict>
          <v:shape id="Quad Arrow 374" o:spid="_x0000_s1058" type="#_x0000_t202" style="position:absolute;left:0;margin-left:71.15pt;margin-top:148.85pt;height:26.5pt;width:348.2pt;rotation:0f;z-index:251676672;" o:ole="f" fillcolor="#FFFFFF" filled="f" o:preferrelative="t" stroked="f" coordorigin="0,0" coordsize="21600,21600">
            <v:fill on="f" color2="#FFFFFF" focus="0%"/>
            <v:imagedata gain="65536f" blacklevel="0f" gamma="0"/>
            <o:lock v:ext="edit" position="f" selection="f" grouping="f" rotation="f" cropping="f" text="f" aspectratio="f"/>
            <v:textbox>
              <w:txbxContent>
                <w:p>
                  <w:pPr>
                    <w:ind w:firstLine="440"/>
                  </w:pPr>
                  <w:r>
                    <w:rPr>
                      <w:rFonts w:hint="eastAsia"/>
                      <w:sz w:val="22"/>
                      <w:szCs w:val="22"/>
                    </w:rPr>
                    <w:t>沙烏地阿拉伯</w:t>
                  </w:r>
                  <w:r>
                    <w:t xml:space="preserve">    </w:t>
                  </w:r>
                  <w:r>
                    <w:rPr>
                      <w:rFonts w:hint="eastAsia"/>
                    </w:rPr>
                    <w:t>敘利亞</w:t>
                  </w:r>
                  <w:r>
                    <w:t xml:space="preserve">       </w:t>
                  </w:r>
                  <w:r>
                    <w:rPr>
                      <w:rFonts w:hint="eastAsia"/>
                    </w:rPr>
                    <w:t>約旦</w:t>
                  </w:r>
                  <w:r>
                    <w:t xml:space="preserve">        </w:t>
                  </w:r>
                  <w:r>
                    <w:rPr>
                      <w:rFonts w:hint="eastAsia"/>
                    </w:rPr>
                    <w:t>俄羅斯</w:t>
                  </w:r>
                </w:p>
              </w:txbxContent>
            </v:textbox>
          </v:shape>
        </w:pict>
      </w:r>
      <w:r>
        <w:rPr>
          <w:rFonts w:hint="eastAsia" w:ascii="Times New Roman" w:hAnsi="Times New Roman" w:eastAsia="PMingLiU" w:cs="Times New Roman"/>
          <w:kern w:val="2"/>
          <w:sz w:val="24"/>
          <w:szCs w:val="24"/>
          <w:lang w:val="en-US" w:eastAsia="zh-CN" w:bidi="ar-SA"/>
        </w:rPr>
        <w:pict>
          <v:shape id="图片 10" o:spid="_x0000_s1059" type="#_x0000_t75" style="height:179.15pt;width:380.35pt;rotation:0f;" o:ole="f" fillcolor="#FFFFFF" filled="f" o:preferrelative="t" stroked="f" coordorigin="0,0" coordsize="21600,21600">
            <v:fill on="f" color2="#FFFFFF" focus="0%"/>
            <v:imagedata cropbottom="7342f" gain="65536f" blacklevel="0f" gamma="0" o:title="" r:id="rId22"/>
            <o:lock v:ext="edit" position="f" selection="f" grouping="f" rotation="f" cropping="f" text="f" aspectratio="t"/>
            <w10:wrap type="none"/>
            <w10:anchorlock/>
          </v:shape>
        </w:pict>
      </w:r>
    </w:p>
    <w:p>
      <w:pPr>
        <w:spacing w:line="240" w:lineRule="auto"/>
        <w:ind w:firstLine="440"/>
        <w:rPr>
          <w:rFonts w:hint="eastAsia" w:ascii="宋体" w:hAnsi="宋体" w:eastAsia="宋体" w:cs="宋体"/>
          <w:sz w:val="21"/>
          <w:szCs w:val="21"/>
        </w:rPr>
      </w:pPr>
      <w:r>
        <w:rPr>
          <w:rFonts w:hint="eastAsia" w:ascii="宋体" w:hAnsi="宋体" w:eastAsia="宋体" w:cs="宋体"/>
          <w:sz w:val="21"/>
          <w:szCs w:val="21"/>
        </w:rPr>
        <w:t xml:space="preserve">資料來源：UNODC (2013). </w:t>
      </w:r>
      <w:r>
        <w:rPr>
          <w:rFonts w:hint="eastAsia" w:ascii="宋体" w:hAnsi="宋体" w:eastAsia="宋体" w:cs="宋体"/>
          <w:i/>
          <w:sz w:val="21"/>
          <w:szCs w:val="21"/>
        </w:rPr>
        <w:t>World Drug Report 2013</w:t>
      </w:r>
      <w:r>
        <w:rPr>
          <w:rFonts w:hint="eastAsia" w:ascii="宋体" w:hAnsi="宋体" w:eastAsia="宋体" w:cs="宋体"/>
          <w:sz w:val="21"/>
          <w:szCs w:val="21"/>
        </w:rPr>
        <w:t>.</w:t>
      </w:r>
    </w:p>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圖10  主要查獲安非他命的地區</w:t>
      </w:r>
    </w:p>
    <w:p>
      <w:pPr>
        <w:ind w:firstLine="480"/>
      </w:pPr>
      <w:r>
        <w:rPr>
          <w:rFonts w:hint="eastAsia" w:ascii="宋体" w:hAnsi="宋体" w:eastAsia="宋体" w:cs="宋体"/>
        </w:rPr>
        <w:t>2011年查獲MDMA最多的地區是歐洲，從2010年的1.3噸增加至2011年的1.7噸。在北美，美國及加拿大的查獲量都有下滑。就全球而言，查獲量最多的國家依序為美國（926公斤）、荷蘭（583公斤）及法國（409公斤），詳如圖11。市場也有部分的復甦，法國從2010年查獲180公斤增加到2011年的409公斤，而荷蘭從2010年查獲343公斤增加到2011年的583公斤。土耳其成為新興的查獲國家，從2010年的251公斤增加到2011年的370公斤。巴西查獲70公斤是自1987年以來最高。</w:t>
      </w:r>
    </w:p>
    <w:p>
      <w:pPr>
        <w:spacing w:line="240" w:lineRule="auto"/>
        <w:ind w:firstLine="0" w:firstLineChars="0"/>
        <w:rPr>
          <w:rFonts w:eastAsia="PMingLiU"/>
        </w:rPr>
      </w:pPr>
      <w:r>
        <w:rPr>
          <w:rFonts w:ascii="Times New Roman" w:hAnsi="Times New Roman" w:eastAsia="宋体" w:cs="Times New Roman"/>
          <w:kern w:val="2"/>
          <w:sz w:val="24"/>
          <w:szCs w:val="24"/>
          <w:lang w:val="en-US" w:eastAsia="zh-CN" w:bidi="ar-SA"/>
        </w:rPr>
        <w:pict>
          <v:shape id="Quad Arrow 376" o:spid="_x0000_s1060" type="#_x0000_t202" style="position:absolute;left:0;margin-left:100.35pt;margin-top:154.45pt;height:32.3pt;width:279.9pt;rotation:0f;z-index:251678720;" o:ole="f" fillcolor="#FFFFFF" filled="f" o:preferrelative="t" stroked="f" coordorigin="0,0" coordsize="21600,21600">
            <v:fill on="f" color2="#FFFFFF" focus="0%"/>
            <v:imagedata gain="65536f" blacklevel="0f" gamma="0"/>
            <o:lock v:ext="edit" position="f" selection="f" grouping="f" rotation="f" cropping="f" text="f" aspectratio="f"/>
            <v:textbox>
              <w:txbxContent>
                <w:p>
                  <w:pPr>
                    <w:spacing w:line="240" w:lineRule="auto"/>
                    <w:ind w:firstLine="0" w:firstLineChars="0"/>
                  </w:pPr>
                  <w:r>
                    <w:t xml:space="preserve"> </w:t>
                  </w:r>
                  <w:r>
                    <w:rPr>
                      <w:rFonts w:hint="eastAsia"/>
                    </w:rPr>
                    <w:t>美國</w:t>
                  </w:r>
                  <w:r>
                    <w:t xml:space="preserve">     </w:t>
                  </w:r>
                  <w:r>
                    <w:rPr>
                      <w:rFonts w:hint="eastAsia"/>
                    </w:rPr>
                    <w:t>荷蘭</w:t>
                  </w:r>
                  <w:r>
                    <w:t xml:space="preserve">      </w:t>
                  </w:r>
                  <w:r>
                    <w:rPr>
                      <w:rFonts w:hint="eastAsia"/>
                    </w:rPr>
                    <w:t>法國</w:t>
                  </w:r>
                  <w:r>
                    <w:t xml:space="preserve">    </w:t>
                  </w:r>
                  <w:r>
                    <w:rPr>
                      <w:rFonts w:hint="eastAsia"/>
                    </w:rPr>
                    <w:t>土耳其</w:t>
                  </w:r>
                  <w:r>
                    <w:t xml:space="preserve">     </w:t>
                  </w:r>
                  <w:r>
                    <w:rPr>
                      <w:rFonts w:hint="eastAsia"/>
                    </w:rPr>
                    <w:t>印尼</w:t>
                  </w:r>
                </w:p>
              </w:txbxContent>
            </v:textbox>
          </v:shape>
        </w:pict>
      </w:r>
      <w:r>
        <w:rPr>
          <w:rFonts w:ascii="Times New Roman" w:hAnsi="Times New Roman" w:eastAsia="宋体" w:cs="Times New Roman"/>
          <w:kern w:val="2"/>
          <w:sz w:val="24"/>
          <w:szCs w:val="24"/>
          <w:lang w:val="en-US" w:eastAsia="zh-CN" w:bidi="ar-SA"/>
        </w:rPr>
        <w:pict>
          <v:shape id="Quad Arrow 375" o:spid="_x0000_s1061" type="#_x0000_t202" style="position:absolute;left:0;margin-left:4.45pt;margin-top:40.3pt;height:120.95pt;width:51.85pt;rotation:0f;z-index:251677696;"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ind w:firstLine="440"/>
                    <w:rPr>
                      <w:sz w:val="22"/>
                      <w:szCs w:val="22"/>
                    </w:rPr>
                  </w:pPr>
                  <w:r>
                    <w:rPr>
                      <w:rFonts w:hint="eastAsia"/>
                      <w:sz w:val="22"/>
                      <w:szCs w:val="22"/>
                    </w:rPr>
                    <w:t>查獲量（噸）</w:t>
                  </w:r>
                </w:p>
              </w:txbxContent>
            </v:textbox>
          </v:shape>
        </w:pict>
      </w:r>
      <w:r>
        <w:rPr>
          <w:rFonts w:eastAsia="PMingLiU"/>
        </w:rPr>
        <w:t xml:space="preserve">    </w:t>
      </w:r>
      <w:r>
        <w:rPr>
          <w:rFonts w:hint="eastAsia" w:ascii="Times New Roman" w:hAnsi="Times New Roman" w:eastAsia="PMingLiU" w:cs="Times New Roman"/>
          <w:kern w:val="2"/>
          <w:sz w:val="24"/>
          <w:szCs w:val="24"/>
          <w:lang w:val="en-US" w:eastAsia="zh-CN" w:bidi="ar-SA"/>
        </w:rPr>
        <w:pict>
          <v:shape id="图片 11" o:spid="_x0000_s1062" type="#_x0000_t75" style="height:174.35pt;width:369.4pt;rotation:0f;" o:ole="f" fillcolor="#FFFFFF" filled="f" o:preferrelative="t" stroked="f" coordorigin="0,0" coordsize="21600,21600">
            <v:fill on="f" color2="#FFFFFF" focus="0%"/>
            <v:imagedata cropbottom="7949f" gain="65536f" blacklevel="0f" gamma="0" o:title="" r:id="rId23"/>
            <o:lock v:ext="edit" position="f" selection="f" grouping="f" rotation="f" cropping="f" text="f" aspectratio="t"/>
            <w10:wrap type="none"/>
            <w10:anchorlock/>
          </v:shape>
        </w:pict>
      </w:r>
    </w:p>
    <w:p>
      <w:pPr>
        <w:spacing w:line="240" w:lineRule="auto"/>
        <w:ind w:firstLine="440"/>
        <w:rPr>
          <w:rFonts w:hint="eastAsia" w:ascii="宋体" w:hAnsi="宋体" w:eastAsia="宋体" w:cs="宋体"/>
          <w:sz w:val="21"/>
          <w:szCs w:val="21"/>
        </w:rPr>
      </w:pPr>
      <w:r>
        <w:rPr>
          <w:rFonts w:hint="eastAsia" w:ascii="宋体" w:hAnsi="宋体" w:eastAsia="宋体" w:cs="宋体"/>
          <w:sz w:val="21"/>
          <w:szCs w:val="21"/>
        </w:rPr>
        <w:t xml:space="preserve">資料來源：UNODC (2013). </w:t>
      </w:r>
      <w:r>
        <w:rPr>
          <w:rFonts w:hint="eastAsia" w:ascii="宋体" w:hAnsi="宋体" w:eastAsia="宋体" w:cs="宋体"/>
          <w:i/>
          <w:sz w:val="21"/>
          <w:szCs w:val="21"/>
        </w:rPr>
        <w:t>World Drug Report 2013</w:t>
      </w:r>
      <w:r>
        <w:rPr>
          <w:rFonts w:hint="eastAsia" w:ascii="宋体" w:hAnsi="宋体" w:eastAsia="宋体" w:cs="宋体"/>
          <w:sz w:val="21"/>
          <w:szCs w:val="21"/>
        </w:rPr>
        <w:t>.</w:t>
      </w:r>
    </w:p>
    <w:p>
      <w:pPr>
        <w:ind w:left="0" w:leftChars="0" w:firstLine="0" w:firstLineChars="0"/>
        <w:jc w:val="center"/>
      </w:pPr>
      <w:r>
        <w:rPr>
          <w:rFonts w:hint="eastAsia" w:ascii="宋体" w:hAnsi="宋体" w:eastAsia="宋体" w:cs="宋体"/>
          <w:sz w:val="21"/>
          <w:szCs w:val="21"/>
        </w:rPr>
        <w:t>圖11  主要查獲MDMA的地區</w:t>
      </w:r>
    </w:p>
    <w:p>
      <w:pPr>
        <w:ind w:firstLine="480"/>
        <w:rPr>
          <w:rFonts w:hint="eastAsia" w:ascii="宋体" w:hAnsi="宋体" w:eastAsia="宋体" w:cs="宋体"/>
        </w:rPr>
      </w:pPr>
      <w:r>
        <w:rPr>
          <w:rFonts w:hint="eastAsia" w:ascii="宋体" w:hAnsi="宋体" w:eastAsia="宋体" w:cs="宋体"/>
        </w:rPr>
        <w:t>雖然全球MDMA類毒品的使用有所下降，但歐洲似乎有所上升。MDMA類毒品使用普遍率超過全球平均數的三個地區分別為歐洲、北美洲和大洋洲。MDMA類毒品的查獲量有5%的減少，從2010年的3.8噸降至2011年的3.6噸。主要查獲的地區為美國、荷蘭及法國。</w:t>
      </w:r>
    </w:p>
    <w:p>
      <w:pPr>
        <w:ind w:firstLine="480"/>
        <w:rPr>
          <w:rFonts w:hint="eastAsia" w:ascii="宋体" w:hAnsi="宋体" w:eastAsia="宋体" w:cs="宋体"/>
        </w:rPr>
      </w:pPr>
      <w:r>
        <w:rPr>
          <w:rFonts w:hint="eastAsia" w:ascii="宋体" w:hAnsi="宋体" w:eastAsia="宋体" w:cs="宋体"/>
        </w:rPr>
        <w:t>一般而言，相較其他毒品，安非他命型興奮劑的生產地和消費地較無區隔。造成的結果是，安非他命型興奮劑的販運通常是「區域內」而非「區域間」。因此，相較古柯鹼或鴉片類麻醉藥品，較少查獲到大批安非他命型興奮劑的過境運輸。然而相對的，安非他命型興奮劑先驅化學物質的跨區域販運卻有增加的趨勢，這也是已開發國家嚴格控管先驅化學物質的原因之一。甲基安非他命的生產也在擴展，在波蘭和俄羅斯破獲了新的生產點。另有跡象顯示中美洲的生產活動更趨活躍，而墨西哥販毒組織在該地區合成毒品市場上的影響有所增加。</w:t>
      </w:r>
    </w:p>
    <w:p>
      <w:pPr>
        <w:ind w:firstLine="480"/>
        <w:rPr>
          <w:rFonts w:hint="eastAsia" w:ascii="宋体" w:hAnsi="宋体" w:eastAsia="宋体" w:cs="宋体"/>
        </w:rPr>
      </w:pPr>
      <w:r>
        <w:rPr>
          <w:rFonts w:hint="eastAsia" w:ascii="宋体" w:hAnsi="宋体" w:eastAsia="宋体" w:cs="宋体"/>
        </w:rPr>
        <w:t>西非逐漸成為甲基安非他命販運至東亞及東南亞的來源地。過去非洲的販運集團以販運古柯鹼及海洛因為主，如今也逐漸藉由空運等方式販運甲基安非他命至東亞及東南亞地區；另外西非的販毒集團也利用歐洲的機場將非洲生產的甲基安非他命販運至亞洲市場，甚至及於澳洲與紐西蘭等地。</w:t>
      </w:r>
    </w:p>
    <w:p>
      <w:pPr>
        <w:ind w:firstLine="480"/>
      </w:pPr>
      <w:r>
        <w:rPr>
          <w:rFonts w:hint="eastAsia" w:ascii="宋体" w:hAnsi="宋体" w:eastAsia="宋体" w:cs="宋体"/>
        </w:rPr>
        <w:t>全球安非他命製毒工廠的數量維持穩定，2010年為103間，2011年則是131間。歐洲查獲69間為最多，其中白俄羅斯查獲了9間。在美國查獲最多的甲基安非他命的製毒工廠，從2010年的2,754間上升到2011年的11,116間。而墨西哥（159間）及加拿大（35間）數量都有增加。歐洲查獲了350間，其中捷克就有338間。大洋洲則查獲了109間。</w:t>
      </w:r>
    </w:p>
    <w:p>
      <w:pPr>
        <w:ind w:firstLine="480"/>
        <w:rPr>
          <w:rFonts w:hint="eastAsia" w:ascii="宋体" w:hAnsi="宋体" w:eastAsia="宋体" w:cs="宋体"/>
        </w:rPr>
      </w:pPr>
      <w:r>
        <w:rPr>
          <w:rFonts w:hint="eastAsia" w:ascii="宋体" w:hAnsi="宋体" w:eastAsia="宋体" w:cs="宋体"/>
        </w:rPr>
        <w:t>墨西哥有製造MDMA的跡象，2011年在機場查獲了2,500公升的黃樟素（safrole，MDMA的前驅化學物質），而到2011年中期有154,000公升的甲胺（可用來製作安非他命及甲基安非他命）被查獲。MDMA製毒工廠共查獲了39間，主要在大洋洲、東亞、東南亞及北美。</w:t>
      </w:r>
    </w:p>
    <w:p>
      <w:pPr>
        <w:ind w:firstLine="480"/>
        <w:rPr>
          <w:rFonts w:hint="eastAsia" w:ascii="宋体" w:hAnsi="宋体" w:eastAsia="宋体" w:cs="宋体"/>
        </w:rPr>
      </w:pPr>
      <w:r>
        <w:rPr>
          <w:rFonts w:hint="eastAsia" w:ascii="宋体" w:hAnsi="宋体" w:eastAsia="宋体" w:cs="宋体"/>
        </w:rPr>
        <w:t>傳統上，甲基安非他命藥丸是東亞及東南亞最常見的安非他命型興奮劑，但2011年結晶（crystalline）的甲基安非他命查獲量達到新高，2011年共查獲了8.8噸，相較於2010年的7噸上升了28%。大陸地區查獲4噸為最高，在馬來西亞查獲了1噸，有39%的成長；印尼查獲超過1噸也是五年來新高，而泰國（超過1噸）、柬埔寨（19公斤）及新加坡（14公斤）的查獲量都是歷史新高。</w:t>
      </w:r>
    </w:p>
    <w:p>
      <w:pPr>
        <w:ind w:firstLine="480"/>
        <w:rPr>
          <w:rFonts w:hint="eastAsia" w:ascii="宋体" w:hAnsi="宋体" w:eastAsia="宋体" w:cs="宋体"/>
        </w:rPr>
      </w:pPr>
      <w:r>
        <w:rPr>
          <w:rFonts w:hint="eastAsia" w:ascii="宋体" w:hAnsi="宋体" w:eastAsia="宋体" w:cs="宋体"/>
        </w:rPr>
        <w:t>就甲基安非他命藥丸而言，緬甸是主要的來源，販運至大陸地區、寮國、孟加拉及泰國等地。2011年甲基安非他命藥丸的查獲量有小幅減少，從2010年的1億3千4百萬到2011年的1億2千2百萬，下降了9%，但與2007年的22萬已增加了五倍，詳如圖16。2011年的查獲量有98%來自以下四國：大陸地區（610萬）、泰國（490萬）、緬甸（590萬）及寮國460萬。增加最多的是柬埔寨（189%）、緬甸（169%）及新加坡（120%）。</w:t>
      </w:r>
    </w:p>
    <w:p>
      <w:pPr>
        <w:ind w:firstLine="480"/>
        <w:rPr>
          <w:rFonts w:hint="eastAsia" w:ascii="宋体" w:hAnsi="宋体" w:eastAsia="宋体" w:cs="宋体"/>
        </w:rPr>
      </w:pPr>
      <w:r>
        <w:rPr>
          <w:rFonts w:hint="eastAsia" w:ascii="宋体" w:hAnsi="宋体" w:eastAsia="宋体" w:cs="宋体"/>
        </w:rPr>
        <w:t>近年MDMA的查獲量有所下降，但在汶萊、柬埔寨、印尼、日本、馬來西亞、菲律賓、南韓跟泰國都有增加。MDMA製毒工廠的查獲數從2010年的43個下降到2011年的39個，製毒的分布也從歐洲擴散，在澳洲、印尼、馬來西亞、美國、加拿大、法國及比利時均有查獲。</w:t>
      </w:r>
    </w:p>
    <w:p>
      <w:pPr>
        <w:ind w:firstLine="480"/>
        <w:rPr>
          <w:rFonts w:hint="eastAsia" w:ascii="宋体" w:hAnsi="宋体" w:eastAsia="宋体" w:cs="宋体"/>
        </w:rPr>
      </w:pPr>
      <w:r>
        <w:rPr>
          <w:rFonts w:hint="eastAsia" w:ascii="宋体" w:hAnsi="宋体" w:eastAsia="宋体" w:cs="宋体"/>
        </w:rPr>
        <w:t>2011年在東亞及東南亞地區查獲了400個合成藥品製造設備，與2010年（442個）相較有所下降。查獲最多的國家是大陸地區，有357個，而其製造也從南方沿海地區擴散至中部及北部，2011年在33個省份中有29個省有查獲。</w:t>
      </w:r>
    </w:p>
    <w:p>
      <w:pPr>
        <w:ind w:firstLine="480"/>
      </w:pPr>
      <w:r>
        <w:rPr>
          <w:rFonts w:hint="eastAsia" w:ascii="宋体" w:hAnsi="宋体" w:eastAsia="宋体" w:cs="宋体"/>
        </w:rPr>
        <w:t>有跡象顯示，犯罪集團不斷調整自己的毒品生產過程以規避反毒措施，其手法如下：（1）使用不受國際管制的先驅化學物質製造毒品；（2）將製毒業務轉移到取締執法較為脆弱的地區；（3）轉移先驅化學物質與毒品的販運路線以躲避執法單位的調查。證據顯示，使用未受管制的先驅物質合成安非他命型興奮劑有越來越頻繁的趨勢。最顯著的現象是使用內含偽麻黃素、麻黃素或P-2-P相關成分的成藥藥錠作為製毒的原料。原因是這些成藥藥錠不像直接販運大量的先驅物質一樣，那麼容易被發現。此外，也有越來越多製造甲基安非他命的新興先驅化學物質，這些新興的先驅化學物質包括：苯甲醛（benzaldehyde）、α- phenylacetoacetonitrile（可輕易轉化成P-2-P）、苯乙酸甲酯、苯乙酸乙酯、苯乙酸戊酯和苯乙酸異丁酯（上述化學物質皆可轉換成苯乙酸）（Vander Beken, 2006; Lab, 2010）。</w:t>
      </w:r>
    </w:p>
    <w:p>
      <w:pPr>
        <w:ind w:firstLine="480"/>
      </w:pPr>
      <w:r>
        <w:rPr>
          <w:rFonts w:hint="eastAsia" w:ascii="宋体" w:hAnsi="宋体" w:eastAsia="宋体" w:cs="宋体"/>
        </w:rPr>
        <w:t>由於長久存在該問題的國家，其執法單位已對安非他命型興奮劑的製造產生警覺，並加強執法和限制措施，所以製毒業務漸漸轉移到鄰近執法較弱的國家。例如製毒工廠由美國轉移至墨西哥，近年來又因墨西哥當局加強執法，導致甲基安非他命的製造漸漸南遷至拉丁美洲國家，包括阿根廷、瓜地馬拉、洪都拉斯和秘魯。類似變化也出現在南亞地區，印度和斯里蘭卡均於近年查獲境內有史以來第一家製毒工廠（UNODC, 2009）。表8為非他命類興奮劑以及MDMA之地區特徵與販運模式。</w:t>
      </w:r>
    </w:p>
    <w:p>
      <w:pPr>
        <w:spacing w:line="240" w:lineRule="auto"/>
        <w:ind w:firstLine="440"/>
        <w:rPr>
          <w:rFonts w:eastAsia="MingLiU"/>
          <w:sz w:val="22"/>
          <w:szCs w:val="22"/>
        </w:rPr>
      </w:pPr>
    </w:p>
    <w:p>
      <w:pPr>
        <w:ind w:firstLine="480"/>
        <w:jc w:val="center"/>
      </w:pPr>
      <w:r>
        <w:rPr>
          <w:rFonts w:hint="eastAsia" w:ascii="宋体" w:hAnsi="宋体" w:eastAsia="宋体" w:cs="宋体"/>
          <w:sz w:val="21"/>
          <w:szCs w:val="21"/>
        </w:rPr>
        <w:t>表8 安非他命型興奮劑的區域特徵與販運模式</w:t>
      </w:r>
    </w:p>
    <w:tbl>
      <w:tblPr>
        <w:tblStyle w:val="46"/>
        <w:tblW w:w="9720" w:type="dxa"/>
        <w:jc w:val="center"/>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900"/>
        <w:gridCol w:w="1800"/>
        <w:gridCol w:w="3600"/>
        <w:gridCol w:w="3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3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300" w:lineRule="exact"/>
              <w:ind w:firstLine="0" w:firstLineChars="0"/>
              <w:jc w:val="center"/>
              <w:rPr>
                <w:rFonts w:eastAsia="MingLiU"/>
                <w:b/>
                <w:sz w:val="21"/>
                <w:szCs w:val="21"/>
              </w:rPr>
            </w:pPr>
            <w:r>
              <w:rPr>
                <w:rFonts w:hAnsi="MingLiU" w:eastAsia="MingLiU"/>
                <w:b/>
                <w:sz w:val="21"/>
                <w:szCs w:val="21"/>
              </w:rPr>
              <w:t>毒品</w:t>
            </w:r>
          </w:p>
          <w:p>
            <w:pPr>
              <w:widowControl/>
              <w:spacing w:line="300" w:lineRule="exact"/>
              <w:ind w:firstLine="0" w:firstLineChars="0"/>
              <w:jc w:val="center"/>
              <w:rPr>
                <w:rFonts w:eastAsia="MingLiU"/>
                <w:b/>
                <w:sz w:val="21"/>
                <w:szCs w:val="21"/>
              </w:rPr>
            </w:pPr>
            <w:r>
              <w:rPr>
                <w:rFonts w:hAnsi="MingLiU" w:eastAsia="MingLiU"/>
                <w:b/>
                <w:sz w:val="21"/>
                <w:szCs w:val="21"/>
              </w:rPr>
              <w:t>種類</w:t>
            </w:r>
          </w:p>
        </w:tc>
        <w:tc>
          <w:tcPr>
            <w:tcW w:w="180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300" w:lineRule="exact"/>
              <w:ind w:firstLine="0" w:firstLineChars="0"/>
              <w:jc w:val="center"/>
              <w:rPr>
                <w:rFonts w:eastAsia="MingLiU"/>
                <w:b/>
                <w:sz w:val="21"/>
                <w:szCs w:val="21"/>
              </w:rPr>
            </w:pPr>
            <w:r>
              <w:rPr>
                <w:rFonts w:hAnsi="MingLiU" w:eastAsia="MingLiU"/>
                <w:b/>
                <w:sz w:val="21"/>
                <w:szCs w:val="21"/>
              </w:rPr>
              <w:t>施用人數</w:t>
            </w:r>
          </w:p>
        </w:tc>
        <w:tc>
          <w:tcPr>
            <w:tcW w:w="360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300" w:lineRule="exact"/>
              <w:ind w:left="304" w:firstLine="0" w:firstLineChars="0"/>
              <w:jc w:val="center"/>
              <w:rPr>
                <w:rFonts w:eastAsia="MingLiU"/>
                <w:b/>
                <w:sz w:val="21"/>
                <w:szCs w:val="21"/>
              </w:rPr>
            </w:pPr>
            <w:r>
              <w:rPr>
                <w:rFonts w:hAnsi="MingLiU" w:eastAsia="MingLiU"/>
                <w:b/>
                <w:sz w:val="21"/>
                <w:szCs w:val="21"/>
              </w:rPr>
              <w:t>查獲地區</w:t>
            </w:r>
          </w:p>
        </w:tc>
        <w:tc>
          <w:tcPr>
            <w:tcW w:w="342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300" w:lineRule="exact"/>
              <w:ind w:left="304" w:firstLine="0" w:firstLineChars="0"/>
              <w:jc w:val="center"/>
              <w:rPr>
                <w:rFonts w:eastAsia="MingLiU"/>
                <w:b/>
                <w:sz w:val="21"/>
                <w:szCs w:val="21"/>
              </w:rPr>
            </w:pPr>
            <w:r>
              <w:rPr>
                <w:rFonts w:hAnsi="MingLiU" w:eastAsia="MingLiU"/>
                <w:b/>
                <w:sz w:val="21"/>
                <w:szCs w:val="21"/>
              </w:rPr>
              <w:t>主要販運路線及特徵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469" w:hRule="atLeast"/>
          <w:jc w:val="center"/>
        </w:trPr>
        <w:tc>
          <w:tcPr>
            <w:tcW w:w="900" w:type="dxa"/>
            <w:tcBorders>
              <w:top w:val="single" w:color="auto" w:sz="4" w:space="0"/>
              <w:left w:val="single" w:color="auto" w:sz="4" w:space="0"/>
              <w:right w:val="single" w:color="auto" w:sz="4" w:space="0"/>
            </w:tcBorders>
            <w:vAlign w:val="center"/>
          </w:tcPr>
          <w:p>
            <w:pPr>
              <w:widowControl/>
              <w:spacing w:line="300" w:lineRule="exact"/>
              <w:ind w:right="113" w:firstLine="0" w:firstLineChars="0"/>
              <w:jc w:val="center"/>
              <w:rPr>
                <w:rFonts w:eastAsia="MingLiU"/>
                <w:sz w:val="21"/>
                <w:szCs w:val="21"/>
              </w:rPr>
            </w:pPr>
            <w:r>
              <w:rPr>
                <w:rFonts w:hAnsi="MingLiU" w:eastAsia="MingLiU"/>
                <w:sz w:val="21"/>
                <w:szCs w:val="21"/>
              </w:rPr>
              <w:t>安非</w:t>
            </w:r>
          </w:p>
          <w:p>
            <w:pPr>
              <w:widowControl/>
              <w:spacing w:line="300" w:lineRule="exact"/>
              <w:ind w:right="113" w:firstLine="0" w:firstLineChars="0"/>
              <w:jc w:val="center"/>
              <w:rPr>
                <w:rFonts w:eastAsia="MingLiU"/>
                <w:sz w:val="21"/>
                <w:szCs w:val="21"/>
              </w:rPr>
            </w:pPr>
            <w:r>
              <w:rPr>
                <w:rFonts w:hAnsi="MingLiU" w:eastAsia="MingLiU"/>
                <w:sz w:val="21"/>
                <w:szCs w:val="21"/>
              </w:rPr>
              <w:t>他命</w:t>
            </w:r>
          </w:p>
        </w:tc>
        <w:tc>
          <w:tcPr>
            <w:tcW w:w="1800" w:type="dxa"/>
            <w:tcBorders>
              <w:top w:val="single" w:color="auto" w:sz="4" w:space="0"/>
              <w:left w:val="single" w:color="auto" w:sz="4" w:space="0"/>
              <w:right w:val="single" w:color="auto" w:sz="4" w:space="0"/>
            </w:tcBorders>
            <w:vAlign w:val="center"/>
          </w:tcPr>
          <w:p>
            <w:pPr>
              <w:widowControl/>
              <w:spacing w:line="300" w:lineRule="exact"/>
              <w:ind w:firstLine="0" w:firstLineChars="0"/>
              <w:jc w:val="center"/>
              <w:rPr>
                <w:rFonts w:eastAsia="MingLiU"/>
                <w:sz w:val="21"/>
                <w:szCs w:val="21"/>
              </w:rPr>
            </w:pPr>
            <w:r>
              <w:rPr>
                <w:rFonts w:eastAsia="MingLiU"/>
                <w:sz w:val="21"/>
                <w:szCs w:val="21"/>
              </w:rPr>
              <w:t>3</w:t>
            </w:r>
            <w:r>
              <w:rPr>
                <w:rFonts w:hAnsi="MingLiU" w:eastAsia="MingLiU"/>
                <w:sz w:val="21"/>
                <w:szCs w:val="21"/>
              </w:rPr>
              <w:t>千</w:t>
            </w:r>
            <w:r>
              <w:rPr>
                <w:rFonts w:eastAsia="MingLiU"/>
                <w:sz w:val="21"/>
                <w:szCs w:val="21"/>
              </w:rPr>
              <w:t>3</w:t>
            </w:r>
            <w:r>
              <w:rPr>
                <w:rFonts w:hAnsi="MingLiU" w:eastAsia="MingLiU"/>
                <w:sz w:val="21"/>
                <w:szCs w:val="21"/>
              </w:rPr>
              <w:t>百</w:t>
            </w:r>
            <w:r>
              <w:rPr>
                <w:rFonts w:eastAsia="MingLiU"/>
                <w:sz w:val="21"/>
                <w:szCs w:val="21"/>
              </w:rPr>
              <w:t>80</w:t>
            </w:r>
            <w:r>
              <w:rPr>
                <w:rFonts w:hAnsi="MingLiU" w:eastAsia="MingLiU"/>
                <w:sz w:val="21"/>
                <w:szCs w:val="21"/>
              </w:rPr>
              <w:t>萬人，占全球</w:t>
            </w:r>
            <w:r>
              <w:rPr>
                <w:rFonts w:eastAsia="MingLiU"/>
                <w:sz w:val="21"/>
                <w:szCs w:val="21"/>
              </w:rPr>
              <w:t>15~64</w:t>
            </w:r>
            <w:r>
              <w:rPr>
                <w:rFonts w:hAnsi="MingLiU" w:eastAsia="MingLiU"/>
                <w:sz w:val="21"/>
                <w:szCs w:val="21"/>
              </w:rPr>
              <w:t>歲人口的</w:t>
            </w:r>
            <w:r>
              <w:rPr>
                <w:rFonts w:eastAsia="MingLiU"/>
                <w:sz w:val="21"/>
                <w:szCs w:val="21"/>
              </w:rPr>
              <w:t>0.7%</w:t>
            </w:r>
            <w:r>
              <w:rPr>
                <w:rFonts w:hAnsi="MingLiU" w:eastAsia="MingLiU"/>
                <w:sz w:val="21"/>
                <w:szCs w:val="21"/>
              </w:rPr>
              <w:t>。</w:t>
            </w:r>
          </w:p>
        </w:tc>
        <w:tc>
          <w:tcPr>
            <w:tcW w:w="3600" w:type="dxa"/>
            <w:tcBorders>
              <w:top w:val="single" w:color="auto" w:sz="4" w:space="0"/>
              <w:left w:val="single" w:color="auto" w:sz="4" w:space="0"/>
              <w:right w:val="single" w:color="auto" w:sz="4" w:space="0"/>
            </w:tcBorders>
            <w:vAlign w:val="top"/>
          </w:tcPr>
          <w:p>
            <w:pPr>
              <w:widowControl/>
              <w:numPr>
                <w:ilvl w:val="0"/>
                <w:numId w:val="10"/>
              </w:numPr>
              <w:tabs>
                <w:tab w:val="clear" w:pos="360"/>
              </w:tabs>
              <w:spacing w:line="300" w:lineRule="exact"/>
              <w:ind w:left="258" w:firstLine="0" w:firstLineChars="0"/>
              <w:rPr>
                <w:rFonts w:eastAsia="MingLiU"/>
                <w:sz w:val="21"/>
                <w:szCs w:val="21"/>
              </w:rPr>
            </w:pPr>
            <w:r>
              <w:rPr>
                <w:rFonts w:hAnsi="MingLiU" w:eastAsia="MingLiU"/>
                <w:sz w:val="21"/>
                <w:szCs w:val="21"/>
              </w:rPr>
              <w:t>安非他命查獲最多的地區為中東地區，占全球查獲量的</w:t>
            </w:r>
            <w:r>
              <w:rPr>
                <w:rFonts w:eastAsia="MingLiU"/>
                <w:sz w:val="21"/>
                <w:szCs w:val="21"/>
              </w:rPr>
              <w:t>64%</w:t>
            </w:r>
            <w:r>
              <w:rPr>
                <w:rFonts w:hAnsi="MingLiU" w:eastAsia="MingLiU"/>
                <w:sz w:val="21"/>
                <w:szCs w:val="21"/>
              </w:rPr>
              <w:t>，查獲最多的國家為沙烏地阿拉伯（</w:t>
            </w:r>
            <w:r>
              <w:rPr>
                <w:rFonts w:eastAsia="MingLiU"/>
                <w:sz w:val="21"/>
                <w:szCs w:val="21"/>
              </w:rPr>
              <w:t>11</w:t>
            </w:r>
            <w:r>
              <w:rPr>
                <w:rFonts w:hAnsi="MingLiU" w:eastAsia="MingLiU"/>
                <w:sz w:val="21"/>
                <w:szCs w:val="21"/>
              </w:rPr>
              <w:t>噸，占總查獲量</w:t>
            </w:r>
            <w:r>
              <w:rPr>
                <w:rFonts w:eastAsia="MingLiU"/>
                <w:sz w:val="21"/>
                <w:szCs w:val="21"/>
              </w:rPr>
              <w:t>37%</w:t>
            </w:r>
            <w:r>
              <w:rPr>
                <w:rFonts w:hAnsi="MingLiU" w:eastAsia="MingLiU"/>
                <w:sz w:val="21"/>
                <w:szCs w:val="21"/>
              </w:rPr>
              <w:t>）、敘利亞（</w:t>
            </w:r>
            <w:r>
              <w:rPr>
                <w:rFonts w:eastAsia="MingLiU"/>
                <w:sz w:val="21"/>
                <w:szCs w:val="21"/>
              </w:rPr>
              <w:t>4</w:t>
            </w:r>
            <w:r>
              <w:rPr>
                <w:rFonts w:hAnsi="MingLiU" w:eastAsia="MingLiU"/>
                <w:sz w:val="21"/>
                <w:szCs w:val="21"/>
              </w:rPr>
              <w:t>噸）及約旦（</w:t>
            </w:r>
            <w:r>
              <w:rPr>
                <w:rFonts w:eastAsia="MingLiU"/>
                <w:sz w:val="21"/>
                <w:szCs w:val="21"/>
              </w:rPr>
              <w:t>4</w:t>
            </w:r>
            <w:r>
              <w:rPr>
                <w:rFonts w:hAnsi="MingLiU" w:eastAsia="MingLiU"/>
                <w:sz w:val="21"/>
                <w:szCs w:val="21"/>
              </w:rPr>
              <w:t>噸）。</w:t>
            </w:r>
          </w:p>
          <w:p>
            <w:pPr>
              <w:numPr>
                <w:ilvl w:val="0"/>
                <w:numId w:val="10"/>
              </w:numPr>
              <w:tabs>
                <w:tab w:val="clear" w:pos="360"/>
              </w:tabs>
              <w:spacing w:line="300" w:lineRule="exact"/>
              <w:ind w:left="258" w:firstLine="0" w:firstLineChars="0"/>
              <w:rPr>
                <w:rFonts w:eastAsia="MingLiU"/>
                <w:sz w:val="21"/>
                <w:szCs w:val="21"/>
              </w:rPr>
            </w:pPr>
            <w:r>
              <w:rPr>
                <w:rFonts w:hAnsi="MingLiU" w:eastAsia="MingLiU"/>
                <w:sz w:val="21"/>
                <w:szCs w:val="21"/>
              </w:rPr>
              <w:t>甲基安非他命查獲最多的國家為墨西哥；查獲量增加最多的地區為美洲（</w:t>
            </w:r>
            <w:r>
              <w:rPr>
                <w:rFonts w:eastAsia="MingLiU"/>
                <w:sz w:val="21"/>
                <w:szCs w:val="21"/>
              </w:rPr>
              <w:t>54</w:t>
            </w:r>
            <w:r>
              <w:rPr>
                <w:rFonts w:hAnsi="MingLiU" w:eastAsia="MingLiU"/>
                <w:sz w:val="21"/>
                <w:szCs w:val="21"/>
              </w:rPr>
              <w:t>噸）、亞洲（</w:t>
            </w:r>
            <w:r>
              <w:rPr>
                <w:rFonts w:eastAsia="MingLiU"/>
                <w:sz w:val="21"/>
                <w:szCs w:val="21"/>
              </w:rPr>
              <w:t>32</w:t>
            </w:r>
            <w:r>
              <w:rPr>
                <w:rFonts w:hAnsi="MingLiU" w:eastAsia="MingLiU"/>
                <w:sz w:val="21"/>
                <w:szCs w:val="21"/>
              </w:rPr>
              <w:t>噸）及歐洲（</w:t>
            </w:r>
            <w:r>
              <w:rPr>
                <w:rFonts w:eastAsia="MingLiU"/>
                <w:sz w:val="21"/>
                <w:szCs w:val="21"/>
              </w:rPr>
              <w:t>2</w:t>
            </w:r>
            <w:r>
              <w:rPr>
                <w:rFonts w:hAnsi="MingLiU" w:eastAsia="MingLiU"/>
                <w:sz w:val="21"/>
                <w:szCs w:val="21"/>
              </w:rPr>
              <w:t>噸）。</w:t>
            </w:r>
          </w:p>
          <w:p>
            <w:pPr>
              <w:widowControl/>
              <w:numPr>
                <w:ilvl w:val="0"/>
                <w:numId w:val="10"/>
              </w:numPr>
              <w:tabs>
                <w:tab w:val="clear" w:pos="360"/>
              </w:tabs>
              <w:spacing w:line="300" w:lineRule="exact"/>
              <w:ind w:left="258" w:firstLine="0" w:firstLineChars="0"/>
              <w:rPr>
                <w:rFonts w:eastAsia="MingLiU"/>
                <w:sz w:val="21"/>
                <w:szCs w:val="21"/>
              </w:rPr>
            </w:pPr>
            <w:r>
              <w:rPr>
                <w:rFonts w:hAnsi="MingLiU" w:eastAsia="MingLiU"/>
                <w:sz w:val="21"/>
                <w:szCs w:val="21"/>
              </w:rPr>
              <w:t>安非他命查獲量顯著增加的地區為約旦、科威特、卡達、沙烏地阿拉伯及敘利亞。</w:t>
            </w:r>
          </w:p>
          <w:p>
            <w:pPr>
              <w:numPr>
                <w:ilvl w:val="0"/>
                <w:numId w:val="10"/>
              </w:numPr>
              <w:tabs>
                <w:tab w:val="clear" w:pos="360"/>
              </w:tabs>
              <w:spacing w:line="300" w:lineRule="exact"/>
              <w:ind w:left="258" w:firstLine="0" w:firstLineChars="0"/>
              <w:rPr>
                <w:rFonts w:eastAsia="MingLiU"/>
                <w:sz w:val="21"/>
                <w:szCs w:val="21"/>
              </w:rPr>
            </w:pPr>
            <w:r>
              <w:rPr>
                <w:rFonts w:hAnsi="MingLiU" w:eastAsia="MingLiU"/>
                <w:sz w:val="21"/>
                <w:szCs w:val="21"/>
              </w:rPr>
              <w:t>東亞及東南亞也是甲基安非他命市場，查獲量最多依序為大陸地區（</w:t>
            </w:r>
            <w:r>
              <w:rPr>
                <w:rFonts w:eastAsia="MingLiU"/>
                <w:sz w:val="21"/>
                <w:szCs w:val="21"/>
              </w:rPr>
              <w:t>14</w:t>
            </w:r>
            <w:r>
              <w:rPr>
                <w:rFonts w:hAnsi="MingLiU" w:eastAsia="MingLiU"/>
                <w:sz w:val="21"/>
                <w:szCs w:val="21"/>
              </w:rPr>
              <w:t>噸）、泰國（</w:t>
            </w:r>
            <w:r>
              <w:rPr>
                <w:rFonts w:eastAsia="MingLiU"/>
                <w:sz w:val="21"/>
                <w:szCs w:val="21"/>
              </w:rPr>
              <w:t>10</w:t>
            </w:r>
            <w:r>
              <w:rPr>
                <w:rFonts w:hAnsi="MingLiU" w:eastAsia="MingLiU"/>
                <w:sz w:val="21"/>
                <w:szCs w:val="21"/>
              </w:rPr>
              <w:t>噸）、印尼（</w:t>
            </w:r>
            <w:r>
              <w:rPr>
                <w:rFonts w:eastAsia="MingLiU"/>
                <w:sz w:val="21"/>
                <w:szCs w:val="21"/>
              </w:rPr>
              <w:t>1</w:t>
            </w:r>
            <w:r>
              <w:rPr>
                <w:rFonts w:hAnsi="MingLiU" w:eastAsia="MingLiU"/>
                <w:sz w:val="21"/>
                <w:szCs w:val="21"/>
              </w:rPr>
              <w:t>噸）及馬來西亞（</w:t>
            </w:r>
            <w:r>
              <w:rPr>
                <w:rFonts w:eastAsia="MingLiU"/>
                <w:sz w:val="21"/>
                <w:szCs w:val="21"/>
              </w:rPr>
              <w:t>1</w:t>
            </w:r>
            <w:r>
              <w:rPr>
                <w:rFonts w:hAnsi="MingLiU" w:eastAsia="MingLiU"/>
                <w:sz w:val="21"/>
                <w:szCs w:val="21"/>
              </w:rPr>
              <w:t>噸）。</w:t>
            </w:r>
          </w:p>
        </w:tc>
        <w:tc>
          <w:tcPr>
            <w:tcW w:w="3420" w:type="dxa"/>
            <w:tcBorders>
              <w:top w:val="single" w:color="auto" w:sz="4" w:space="0"/>
              <w:left w:val="single" w:color="auto" w:sz="4" w:space="0"/>
              <w:right w:val="single" w:color="auto" w:sz="4" w:space="0"/>
            </w:tcBorders>
            <w:vAlign w:val="top"/>
          </w:tcPr>
          <w:p>
            <w:pPr>
              <w:widowControl/>
              <w:numPr>
                <w:ilvl w:val="0"/>
                <w:numId w:val="11"/>
              </w:numPr>
              <w:tabs>
                <w:tab w:val="clear" w:pos="480"/>
              </w:tabs>
              <w:spacing w:line="300" w:lineRule="exact"/>
              <w:ind w:left="17" w:leftChars="7" w:firstLine="0" w:firstLineChars="0"/>
              <w:rPr>
                <w:rFonts w:eastAsia="MingLiU"/>
                <w:sz w:val="21"/>
                <w:szCs w:val="21"/>
              </w:rPr>
            </w:pPr>
            <w:r>
              <w:rPr>
                <w:rFonts w:hAnsi="MingLiU" w:eastAsia="MingLiU"/>
                <w:sz w:val="21"/>
                <w:szCs w:val="21"/>
              </w:rPr>
              <w:t>安非他命類毒品成品是在區域內部販運流通；而其先驅物質是在區域間販運流通。</w:t>
            </w:r>
          </w:p>
          <w:p>
            <w:pPr>
              <w:widowControl/>
              <w:numPr>
                <w:ilvl w:val="0"/>
                <w:numId w:val="11"/>
              </w:numPr>
              <w:tabs>
                <w:tab w:val="clear" w:pos="480"/>
              </w:tabs>
              <w:spacing w:line="300" w:lineRule="exact"/>
              <w:ind w:left="17" w:leftChars="7" w:firstLine="0" w:firstLineChars="0"/>
              <w:rPr>
                <w:rFonts w:eastAsia="MingLiU"/>
                <w:sz w:val="21"/>
                <w:szCs w:val="21"/>
              </w:rPr>
            </w:pPr>
            <w:r>
              <w:rPr>
                <w:rFonts w:hAnsi="MingLiU" w:eastAsia="MingLiU"/>
                <w:sz w:val="21"/>
                <w:szCs w:val="21"/>
              </w:rPr>
              <w:t>在東亞和東南亞地區，施用者以甲基安非他命為主。</w:t>
            </w:r>
          </w:p>
          <w:p>
            <w:pPr>
              <w:widowControl/>
              <w:numPr>
                <w:ilvl w:val="0"/>
                <w:numId w:val="11"/>
              </w:numPr>
              <w:tabs>
                <w:tab w:val="clear" w:pos="480"/>
              </w:tabs>
              <w:spacing w:line="300" w:lineRule="exact"/>
              <w:ind w:left="17" w:leftChars="7" w:firstLine="0" w:firstLineChars="0"/>
              <w:rPr>
                <w:rFonts w:eastAsia="MingLiU"/>
                <w:sz w:val="21"/>
                <w:szCs w:val="21"/>
              </w:rPr>
            </w:pPr>
            <w:r>
              <w:rPr>
                <w:rFonts w:hAnsi="MingLiU" w:eastAsia="MingLiU"/>
                <w:sz w:val="21"/>
                <w:szCs w:val="21"/>
              </w:rPr>
              <w:t>在近東和中東地區安非他命以非法偽藥（</w:t>
            </w:r>
            <w:r>
              <w:rPr>
                <w:rFonts w:eastAsia="MingLiU"/>
                <w:sz w:val="21"/>
                <w:szCs w:val="21"/>
              </w:rPr>
              <w:t>Captagon</w:t>
            </w:r>
            <w:r>
              <w:rPr>
                <w:rFonts w:hAnsi="MingLiU" w:eastAsia="MingLiU"/>
                <w:sz w:val="21"/>
                <w:szCs w:val="21"/>
              </w:rPr>
              <w:t>錠）的型式大量生產並販運。</w:t>
            </w:r>
          </w:p>
          <w:p>
            <w:pPr>
              <w:widowControl/>
              <w:numPr>
                <w:ilvl w:val="0"/>
                <w:numId w:val="11"/>
              </w:numPr>
              <w:tabs>
                <w:tab w:val="clear" w:pos="480"/>
              </w:tabs>
              <w:spacing w:line="300" w:lineRule="exact"/>
              <w:ind w:left="17" w:leftChars="7" w:firstLine="0" w:firstLineChars="0"/>
              <w:rPr>
                <w:rFonts w:eastAsia="MingLiU"/>
                <w:sz w:val="21"/>
                <w:szCs w:val="21"/>
              </w:rPr>
            </w:pPr>
            <w:r>
              <w:rPr>
                <w:rFonts w:hAnsi="MingLiU" w:eastAsia="MingLiU"/>
                <w:sz w:val="21"/>
                <w:szCs w:val="21"/>
              </w:rPr>
              <w:t>在歐洲，施用者以安非他命為主。</w:t>
            </w:r>
          </w:p>
          <w:p>
            <w:pPr>
              <w:widowControl/>
              <w:numPr>
                <w:ilvl w:val="0"/>
                <w:numId w:val="11"/>
              </w:numPr>
              <w:tabs>
                <w:tab w:val="clear" w:pos="480"/>
              </w:tabs>
              <w:spacing w:line="300" w:lineRule="exact"/>
              <w:ind w:left="17" w:leftChars="7" w:firstLine="0" w:firstLineChars="0"/>
              <w:rPr>
                <w:rFonts w:eastAsia="MingLiU"/>
                <w:sz w:val="21"/>
                <w:szCs w:val="21"/>
              </w:rPr>
            </w:pPr>
            <w:r>
              <w:rPr>
                <w:rFonts w:hAnsi="MingLiU" w:eastAsia="MingLiU"/>
                <w:sz w:val="21"/>
                <w:szCs w:val="21"/>
              </w:rPr>
              <w:t>近年來製毒工業有下列變化驅勢：</w:t>
            </w:r>
          </w:p>
          <w:p>
            <w:pPr>
              <w:widowControl/>
              <w:spacing w:line="300" w:lineRule="exact"/>
              <w:ind w:left="440" w:firstLine="0" w:firstLineChars="0"/>
              <w:rPr>
                <w:rFonts w:eastAsia="MingLiU"/>
                <w:sz w:val="21"/>
                <w:szCs w:val="21"/>
              </w:rPr>
            </w:pPr>
            <w:r>
              <w:rPr>
                <w:rFonts w:hAnsi="MingLiU" w:eastAsia="MingLiU"/>
                <w:sz w:val="21"/>
                <w:szCs w:val="21"/>
              </w:rPr>
              <w:t>（</w:t>
            </w:r>
            <w:r>
              <w:rPr>
                <w:rFonts w:eastAsia="MingLiU"/>
                <w:sz w:val="21"/>
                <w:szCs w:val="21"/>
              </w:rPr>
              <w:t>1</w:t>
            </w:r>
            <w:r>
              <w:rPr>
                <w:rFonts w:hAnsi="MingLiU" w:eastAsia="MingLiU"/>
                <w:sz w:val="21"/>
                <w:szCs w:val="21"/>
              </w:rPr>
              <w:t>）使用不受國際管制的化學先驅物質製造毒品；</w:t>
            </w:r>
          </w:p>
          <w:p>
            <w:pPr>
              <w:widowControl/>
              <w:spacing w:line="300" w:lineRule="exact"/>
              <w:ind w:left="440" w:firstLine="0" w:firstLineChars="0"/>
              <w:rPr>
                <w:rFonts w:eastAsia="MingLiU"/>
                <w:sz w:val="21"/>
                <w:szCs w:val="21"/>
              </w:rPr>
            </w:pPr>
            <w:r>
              <w:rPr>
                <w:rFonts w:hAnsi="MingLiU" w:eastAsia="MingLiU"/>
                <w:sz w:val="21"/>
                <w:szCs w:val="21"/>
              </w:rPr>
              <w:t>（</w:t>
            </w:r>
            <w:r>
              <w:rPr>
                <w:rFonts w:eastAsia="MingLiU"/>
                <w:sz w:val="21"/>
                <w:szCs w:val="21"/>
              </w:rPr>
              <w:t>2</w:t>
            </w:r>
            <w:r>
              <w:rPr>
                <w:rFonts w:hAnsi="MingLiU" w:eastAsia="MingLiU"/>
                <w:sz w:val="21"/>
                <w:szCs w:val="21"/>
              </w:rPr>
              <w:t>）將製毒業務轉移到取締執法較為脆弱的地區；</w:t>
            </w:r>
          </w:p>
          <w:p>
            <w:pPr>
              <w:widowControl/>
              <w:spacing w:line="300" w:lineRule="exact"/>
              <w:ind w:left="440" w:firstLine="0" w:firstLineChars="0"/>
              <w:rPr>
                <w:rFonts w:eastAsia="MingLiU"/>
                <w:sz w:val="21"/>
                <w:szCs w:val="21"/>
              </w:rPr>
            </w:pPr>
            <w:r>
              <w:rPr>
                <w:rFonts w:hAnsi="MingLiU" w:eastAsia="MingLiU"/>
                <w:sz w:val="21"/>
                <w:szCs w:val="21"/>
              </w:rPr>
              <w:t>（</w:t>
            </w:r>
            <w:r>
              <w:rPr>
                <w:rFonts w:eastAsia="MingLiU"/>
                <w:sz w:val="21"/>
                <w:szCs w:val="21"/>
              </w:rPr>
              <w:t>3</w:t>
            </w:r>
            <w:r>
              <w:rPr>
                <w:rFonts w:hAnsi="MingLiU" w:eastAsia="MingLiU"/>
                <w:sz w:val="21"/>
                <w:szCs w:val="21"/>
              </w:rPr>
              <w:t>）轉移先驅化學物質與毒品的販運路線以避免執法單位的調查。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5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113" w:firstLine="0" w:firstLineChars="0"/>
              <w:jc w:val="center"/>
              <w:rPr>
                <w:rFonts w:eastAsia="MingLiU"/>
                <w:sz w:val="21"/>
                <w:szCs w:val="21"/>
              </w:rPr>
            </w:pPr>
            <w:r>
              <w:rPr>
                <w:rFonts w:eastAsia="MingLiU"/>
                <w:sz w:val="21"/>
                <w:szCs w:val="21"/>
              </w:rPr>
              <w:t>MDMA</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MingLiU"/>
                <w:sz w:val="21"/>
                <w:szCs w:val="21"/>
              </w:rPr>
            </w:pPr>
            <w:r>
              <w:rPr>
                <w:rFonts w:eastAsia="MingLiU"/>
                <w:sz w:val="21"/>
                <w:szCs w:val="21"/>
              </w:rPr>
              <w:t>1</w:t>
            </w:r>
            <w:r>
              <w:rPr>
                <w:rFonts w:hAnsi="MingLiU" w:eastAsia="MingLiU"/>
                <w:sz w:val="21"/>
                <w:szCs w:val="21"/>
              </w:rPr>
              <w:t>千</w:t>
            </w:r>
            <w:r>
              <w:rPr>
                <w:rFonts w:eastAsia="MingLiU"/>
                <w:sz w:val="21"/>
                <w:szCs w:val="21"/>
              </w:rPr>
              <w:t>9</w:t>
            </w:r>
            <w:r>
              <w:rPr>
                <w:rFonts w:hAnsi="MingLiU" w:eastAsia="MingLiU"/>
                <w:sz w:val="21"/>
                <w:szCs w:val="21"/>
              </w:rPr>
              <w:t>百</w:t>
            </w:r>
            <w:r>
              <w:rPr>
                <w:rFonts w:eastAsia="MingLiU"/>
                <w:sz w:val="21"/>
                <w:szCs w:val="21"/>
              </w:rPr>
              <w:t>40</w:t>
            </w:r>
            <w:r>
              <w:rPr>
                <w:rFonts w:hAnsi="MingLiU" w:eastAsia="MingLiU"/>
                <w:sz w:val="21"/>
                <w:szCs w:val="21"/>
              </w:rPr>
              <w:t>萬人，占全球</w:t>
            </w:r>
            <w:r>
              <w:rPr>
                <w:rFonts w:eastAsia="MingLiU"/>
                <w:sz w:val="21"/>
                <w:szCs w:val="21"/>
              </w:rPr>
              <w:t>15~64</w:t>
            </w:r>
            <w:r>
              <w:rPr>
                <w:rFonts w:hAnsi="MingLiU" w:eastAsia="MingLiU"/>
                <w:sz w:val="21"/>
                <w:szCs w:val="21"/>
              </w:rPr>
              <w:t>歲人口的</w:t>
            </w:r>
            <w:r>
              <w:rPr>
                <w:rFonts w:eastAsia="MingLiU"/>
                <w:sz w:val="21"/>
                <w:szCs w:val="21"/>
              </w:rPr>
              <w:t>0.4%</w:t>
            </w:r>
            <w:r>
              <w:rPr>
                <w:rFonts w:hAnsi="MingLiU" w:eastAsia="MingLiU"/>
                <w:sz w:val="21"/>
                <w:szCs w:val="21"/>
              </w:rPr>
              <w:t>。</w:t>
            </w:r>
          </w:p>
        </w:tc>
        <w:tc>
          <w:tcPr>
            <w:tcW w:w="3600" w:type="dxa"/>
            <w:tcBorders>
              <w:top w:val="single" w:color="auto" w:sz="4" w:space="0"/>
              <w:left w:val="single" w:color="auto" w:sz="4" w:space="0"/>
              <w:bottom w:val="single" w:color="auto" w:sz="4" w:space="0"/>
              <w:right w:val="single" w:color="auto" w:sz="4" w:space="0"/>
            </w:tcBorders>
            <w:vAlign w:val="top"/>
          </w:tcPr>
          <w:p>
            <w:pPr>
              <w:widowControl/>
              <w:numPr>
                <w:ilvl w:val="0"/>
                <w:numId w:val="12"/>
              </w:numPr>
              <w:tabs>
                <w:tab w:val="clear" w:pos="360"/>
              </w:tabs>
              <w:spacing w:line="300" w:lineRule="exact"/>
              <w:ind w:left="258" w:firstLine="0" w:firstLineChars="0"/>
              <w:rPr>
                <w:rFonts w:eastAsia="MingLiU"/>
                <w:sz w:val="21"/>
                <w:szCs w:val="21"/>
              </w:rPr>
            </w:pPr>
            <w:r>
              <w:rPr>
                <w:rFonts w:hAnsi="MingLiU" w:eastAsia="MingLiU"/>
                <w:sz w:val="21"/>
                <w:szCs w:val="21"/>
              </w:rPr>
              <w:t>查獲</w:t>
            </w:r>
            <w:r>
              <w:rPr>
                <w:rFonts w:eastAsia="MingLiU"/>
                <w:sz w:val="21"/>
                <w:szCs w:val="21"/>
              </w:rPr>
              <w:t>MDMA</w:t>
            </w:r>
            <w:r>
              <w:rPr>
                <w:rFonts w:hAnsi="MingLiU" w:eastAsia="MingLiU"/>
                <w:sz w:val="21"/>
                <w:szCs w:val="21"/>
              </w:rPr>
              <w:t>最多的地區是歐洲，查獲量最多的國家依序為美國（</w:t>
            </w:r>
            <w:r>
              <w:rPr>
                <w:rFonts w:eastAsia="MingLiU"/>
                <w:sz w:val="21"/>
                <w:szCs w:val="21"/>
              </w:rPr>
              <w:t>926</w:t>
            </w:r>
            <w:r>
              <w:rPr>
                <w:rFonts w:hAnsi="MingLiU" w:eastAsia="MingLiU"/>
                <w:sz w:val="21"/>
                <w:szCs w:val="21"/>
              </w:rPr>
              <w:t>公斤）、荷蘭（</w:t>
            </w:r>
            <w:r>
              <w:rPr>
                <w:rFonts w:eastAsia="MingLiU"/>
                <w:sz w:val="21"/>
                <w:szCs w:val="21"/>
              </w:rPr>
              <w:t>583</w:t>
            </w:r>
            <w:r>
              <w:rPr>
                <w:rFonts w:hAnsi="MingLiU" w:eastAsia="MingLiU"/>
                <w:sz w:val="21"/>
                <w:szCs w:val="21"/>
              </w:rPr>
              <w:t>公斤）及法國（</w:t>
            </w:r>
            <w:r>
              <w:rPr>
                <w:rFonts w:eastAsia="MingLiU"/>
                <w:sz w:val="21"/>
                <w:szCs w:val="21"/>
              </w:rPr>
              <w:t>409</w:t>
            </w:r>
            <w:r>
              <w:rPr>
                <w:rFonts w:hAnsi="MingLiU" w:eastAsia="MingLiU"/>
                <w:sz w:val="21"/>
                <w:szCs w:val="21"/>
              </w:rPr>
              <w:t>公斤）。</w:t>
            </w:r>
          </w:p>
          <w:p>
            <w:pPr>
              <w:widowControl/>
              <w:numPr>
                <w:ilvl w:val="0"/>
                <w:numId w:val="12"/>
              </w:numPr>
              <w:tabs>
                <w:tab w:val="clear" w:pos="360"/>
              </w:tabs>
              <w:spacing w:line="300" w:lineRule="exact"/>
              <w:ind w:left="258" w:firstLine="0" w:firstLineChars="0"/>
              <w:rPr>
                <w:rFonts w:eastAsia="MingLiU"/>
                <w:sz w:val="21"/>
                <w:szCs w:val="21"/>
              </w:rPr>
            </w:pPr>
            <w:r>
              <w:rPr>
                <w:rFonts w:hAnsi="MingLiU" w:eastAsia="MingLiU"/>
                <w:sz w:val="21"/>
                <w:szCs w:val="21"/>
              </w:rPr>
              <w:t>法國、荷蘭、土耳其及巴西查獲量均有所增加。</w:t>
            </w:r>
          </w:p>
          <w:p>
            <w:pPr>
              <w:widowControl/>
              <w:spacing w:line="300" w:lineRule="exact"/>
              <w:ind w:firstLine="0" w:firstLineChars="0"/>
              <w:rPr>
                <w:rFonts w:eastAsia="MingLiU"/>
                <w:sz w:val="21"/>
                <w:szCs w:val="21"/>
              </w:rPr>
            </w:pPr>
          </w:p>
        </w:tc>
        <w:tc>
          <w:tcPr>
            <w:tcW w:w="3420" w:type="dxa"/>
            <w:tcBorders>
              <w:top w:val="single" w:color="auto" w:sz="4" w:space="0"/>
              <w:left w:val="single" w:color="auto" w:sz="4" w:space="0"/>
              <w:bottom w:val="single" w:color="auto" w:sz="4" w:space="0"/>
              <w:right w:val="single" w:color="auto" w:sz="4" w:space="0"/>
            </w:tcBorders>
            <w:vAlign w:val="top"/>
          </w:tcPr>
          <w:p>
            <w:pPr>
              <w:widowControl/>
              <w:numPr>
                <w:ilvl w:val="0"/>
                <w:numId w:val="13"/>
              </w:numPr>
              <w:tabs>
                <w:tab w:val="clear" w:pos="480"/>
              </w:tabs>
              <w:spacing w:line="300" w:lineRule="exact"/>
              <w:ind w:left="258" w:firstLine="0" w:firstLineChars="0"/>
              <w:rPr>
                <w:rFonts w:eastAsia="MingLiU"/>
                <w:sz w:val="21"/>
                <w:szCs w:val="21"/>
              </w:rPr>
            </w:pPr>
            <w:r>
              <w:rPr>
                <w:rFonts w:eastAsia="MingLiU"/>
                <w:sz w:val="21"/>
                <w:szCs w:val="21"/>
              </w:rPr>
              <w:t>MDMA</w:t>
            </w:r>
            <w:r>
              <w:rPr>
                <w:rFonts w:hAnsi="MingLiU" w:eastAsia="MingLiU"/>
                <w:sz w:val="21"/>
                <w:szCs w:val="21"/>
              </w:rPr>
              <w:t>是以西歐和中歐地區以及東亞和東南亞地區為主要的出口地區。</w:t>
            </w:r>
          </w:p>
          <w:p>
            <w:pPr>
              <w:widowControl/>
              <w:numPr>
                <w:ilvl w:val="0"/>
                <w:numId w:val="13"/>
              </w:numPr>
              <w:tabs>
                <w:tab w:val="clear" w:pos="480"/>
              </w:tabs>
              <w:spacing w:line="300" w:lineRule="exact"/>
              <w:ind w:left="258" w:firstLine="0" w:firstLineChars="0"/>
              <w:rPr>
                <w:rFonts w:eastAsia="MingLiU"/>
                <w:sz w:val="21"/>
                <w:szCs w:val="21"/>
              </w:rPr>
            </w:pPr>
            <w:r>
              <w:rPr>
                <w:rFonts w:hAnsi="MingLiU" w:eastAsia="MingLiU"/>
                <w:sz w:val="21"/>
                <w:szCs w:val="21"/>
              </w:rPr>
              <w:t>歐洲市場有復甦的跡象，該復甦主要與國際上較不受管制的前驅化學物質的發現有關。</w:t>
            </w:r>
          </w:p>
          <w:p>
            <w:pPr>
              <w:widowControl/>
              <w:numPr>
                <w:ilvl w:val="0"/>
                <w:numId w:val="13"/>
              </w:numPr>
              <w:tabs>
                <w:tab w:val="clear" w:pos="480"/>
              </w:tabs>
              <w:spacing w:line="300" w:lineRule="exact"/>
              <w:ind w:left="258" w:firstLine="0" w:firstLineChars="0"/>
              <w:rPr>
                <w:rFonts w:eastAsia="MingLiU"/>
                <w:sz w:val="21"/>
                <w:szCs w:val="21"/>
              </w:rPr>
            </w:pPr>
            <w:r>
              <w:rPr>
                <w:rFonts w:hAnsi="MingLiU" w:eastAsia="MingLiU"/>
                <w:sz w:val="21"/>
                <w:szCs w:val="21"/>
              </w:rPr>
              <w:t>加拿大的查獲量上升，來自該國或於該國所查獲的此類毒品主要販運至美國。</w:t>
            </w:r>
          </w:p>
          <w:p>
            <w:pPr>
              <w:widowControl/>
              <w:numPr>
                <w:ilvl w:val="0"/>
                <w:numId w:val="13"/>
              </w:numPr>
              <w:tabs>
                <w:tab w:val="clear" w:pos="480"/>
              </w:tabs>
              <w:spacing w:line="300" w:lineRule="exact"/>
              <w:ind w:left="258" w:firstLine="0" w:firstLineChars="0"/>
              <w:rPr>
                <w:rFonts w:eastAsia="MingLiU"/>
                <w:sz w:val="21"/>
                <w:szCs w:val="21"/>
              </w:rPr>
            </w:pPr>
            <w:r>
              <w:rPr>
                <w:rFonts w:hAnsi="MingLiU" w:eastAsia="MingLiU"/>
                <w:sz w:val="21"/>
                <w:szCs w:val="21"/>
              </w:rPr>
              <w:t>雖然製造量有所下降，但澳洲和印尼等國家製毒能力增強或工廠規模有所擴大，而加拿大、紐西蘭和土耳其等出現</w:t>
            </w:r>
            <w:r>
              <w:rPr>
                <w:rFonts w:eastAsia="MingLiU"/>
                <w:sz w:val="21"/>
                <w:szCs w:val="21"/>
              </w:rPr>
              <w:t>MDMA</w:t>
            </w:r>
            <w:r>
              <w:rPr>
                <w:rFonts w:hAnsi="MingLiU" w:eastAsia="MingLiU"/>
                <w:sz w:val="21"/>
                <w:szCs w:val="21"/>
              </w:rPr>
              <w:t>類毒品在非法甲基安非他命工廠製造之情形。</w:t>
            </w:r>
          </w:p>
        </w:tc>
      </w:tr>
    </w:tbl>
    <w:p>
      <w:pPr>
        <w:spacing w:line="240" w:lineRule="auto"/>
        <w:ind w:left="900" w:hanging="900" w:hangingChars="450"/>
        <w:rPr>
          <w:rFonts w:eastAsia="MingLiU"/>
          <w:sz w:val="20"/>
        </w:rPr>
      </w:pPr>
      <w:r>
        <w:rPr>
          <w:rFonts w:hint="eastAsia" w:ascii="宋体" w:hAnsi="宋体" w:eastAsia="宋体" w:cs="宋体"/>
          <w:sz w:val="21"/>
          <w:szCs w:val="21"/>
        </w:rPr>
        <w:t xml:space="preserve">資料來源：整理自Brown, S. D. (2008). </w:t>
      </w:r>
      <w:r>
        <w:rPr>
          <w:rFonts w:hint="eastAsia" w:ascii="宋体" w:hAnsi="宋体" w:eastAsia="宋体" w:cs="宋体"/>
          <w:i/>
          <w:sz w:val="21"/>
          <w:szCs w:val="21"/>
        </w:rPr>
        <w:t>Combating international crime: The longer arm of the law</w:t>
      </w:r>
      <w:r>
        <w:rPr>
          <w:rFonts w:hint="eastAsia" w:ascii="宋体" w:hAnsi="宋体" w:eastAsia="宋体" w:cs="宋体"/>
          <w:sz w:val="21"/>
          <w:szCs w:val="21"/>
        </w:rPr>
        <w:t xml:space="preserve">. London: Routledge.及Mosher, C. J. &amp; Akins, S. (2007). </w:t>
      </w:r>
      <w:r>
        <w:rPr>
          <w:rFonts w:hint="eastAsia" w:ascii="宋体" w:hAnsi="宋体" w:eastAsia="宋体" w:cs="宋体"/>
          <w:i/>
          <w:sz w:val="21"/>
          <w:szCs w:val="21"/>
        </w:rPr>
        <w:t>Drugs and drug policy</w:t>
      </w:r>
      <w:r>
        <w:rPr>
          <w:rFonts w:hint="eastAsia" w:ascii="宋体" w:hAnsi="宋体" w:eastAsia="宋体" w:cs="宋体"/>
          <w:sz w:val="21"/>
          <w:szCs w:val="21"/>
        </w:rPr>
        <w:t xml:space="preserve">. Thousand Oak, CA: Sage Publications.以及UNODC (2013). </w:t>
      </w:r>
      <w:r>
        <w:rPr>
          <w:rFonts w:hint="eastAsia" w:ascii="宋体" w:hAnsi="宋体" w:eastAsia="宋体" w:cs="宋体"/>
          <w:i/>
          <w:sz w:val="21"/>
          <w:szCs w:val="21"/>
        </w:rPr>
        <w:t>World Drug Report 2013</w:t>
      </w:r>
      <w:r>
        <w:rPr>
          <w:rFonts w:hint="eastAsia" w:ascii="宋体" w:hAnsi="宋体" w:eastAsia="宋体" w:cs="宋体"/>
          <w:sz w:val="21"/>
          <w:szCs w:val="21"/>
        </w:rPr>
        <w:t xml:space="preserve">. </w:t>
      </w:r>
    </w:p>
    <w:p>
      <w:pPr>
        <w:spacing w:line="240" w:lineRule="auto"/>
        <w:ind w:firstLine="440"/>
        <w:rPr>
          <w:rFonts w:eastAsia="MingLiU"/>
          <w:sz w:val="22"/>
          <w:szCs w:val="22"/>
        </w:rPr>
      </w:pPr>
    </w:p>
    <w:p>
      <w:pPr>
        <w:pStyle w:val="4"/>
        <w:ind w:firstLine="560"/>
      </w:pPr>
      <w:r>
        <w:t>肆、跨境毒品販運打擊對策</w:t>
      </w:r>
    </w:p>
    <w:p>
      <w:pPr>
        <w:ind w:firstLine="480"/>
        <w:rPr>
          <w:rFonts w:hint="eastAsia" w:ascii="宋体" w:hAnsi="宋体" w:eastAsia="宋体" w:cs="宋体"/>
        </w:rPr>
      </w:pPr>
      <w:r>
        <w:rPr>
          <w:rFonts w:hint="eastAsia" w:ascii="宋体" w:hAnsi="宋体" w:eastAsia="宋体" w:cs="宋体"/>
        </w:rPr>
        <w:t>自20世紀初開始，就有地區實施防制毒品販運的措施，只是這些措施是屬於境內性質的措施。防制毒品的跨境機制，原先主要是控制毒品的非法交易，例如「1961年麻醉藥品單一公約」（The Single Convention on Narcotic Drugs, 1961）要求簽約國將毒品的製造、交易及持有，限制在醫療和科學研究的範圍（公約第4條）。此外，針對非法販運毒品行為，該公約力促簽約國之間進行犯罪情資的交換，改善各國間的協調與合作關係（公約第35條），以及針對販運毒品等嚴重犯罪科處適當處罰（公約第36條）。</w:t>
      </w:r>
    </w:p>
    <w:p>
      <w:pPr>
        <w:ind w:firstLine="480"/>
      </w:pPr>
      <w:r>
        <w:rPr>
          <w:rFonts w:hint="eastAsia" w:ascii="宋体" w:hAnsi="宋体" w:eastAsia="宋体" w:cs="宋体"/>
        </w:rPr>
        <w:t>然而，真正的跨境防制毒品販運方案，則是始自「1988年聯合國禁止非法販運麻醉藥品及影響精神物質公約」（The U.N. Convention against Illicit Traffic in Narcotic Drugs and Psychotropic Substance, 1988）。該公約的基本思維，就是藉由增加風險（如監禁）及減少潛在利益（如沒收毒品販運的利益）的方式來降低毒品販運的動機（Akers &amp; Sellers, 2013）。該公約（第3條）要求簽約國犯罪化以下行為：毒品栽種、毒品販運、製造及配銷相關器具與先驅化學物質、轉換或移轉毒品販運利益（如洗錢）。此外，該公約力促：</w:t>
      </w:r>
    </w:p>
    <w:p>
      <w:pPr>
        <w:numPr>
          <w:numId w:val="0"/>
        </w:numPr>
        <w:ind w:left="480" w:leftChars="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偵查、起訴及審判程序上的司法互助（第7條）。</w:t>
      </w:r>
    </w:p>
    <w:p>
      <w:pPr>
        <w:numPr>
          <w:numId w:val="0"/>
        </w:numPr>
        <w:ind w:left="480" w:leftChars="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引渡（第6條）。</w:t>
      </w:r>
    </w:p>
    <w:p>
      <w:pPr>
        <w:numPr>
          <w:numId w:val="0"/>
        </w:numPr>
        <w:ind w:left="480" w:leftChars="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控制下交付（controlled deliveries, 第11條）。</w:t>
      </w:r>
    </w:p>
    <w:p>
      <w:pPr>
        <w:numPr>
          <w:numId w:val="0"/>
        </w:numPr>
        <w:ind w:left="480" w:leftChars="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洗錢防制措施及沒收犯罪所得（第5條）。</w:t>
      </w:r>
    </w:p>
    <w:p>
      <w:pPr>
        <w:numPr>
          <w:numId w:val="0"/>
        </w:numPr>
        <w:ind w:left="480" w:leftChars="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防制先驅化學物質措施（第12條）。</w:t>
      </w:r>
    </w:p>
    <w:p>
      <w:pPr>
        <w:ind w:firstLine="480"/>
        <w:rPr>
          <w:rFonts w:hint="eastAsia" w:ascii="宋体" w:hAnsi="宋体" w:eastAsia="宋体" w:cs="宋体"/>
          <w:sz w:val="24"/>
          <w:szCs w:val="24"/>
        </w:rPr>
      </w:pPr>
      <w:r>
        <w:rPr>
          <w:rFonts w:hint="eastAsia" w:ascii="宋体" w:hAnsi="宋体" w:eastAsia="宋体" w:cs="宋体"/>
          <w:sz w:val="24"/>
          <w:szCs w:val="24"/>
        </w:rPr>
        <w:t>毒品販運集團多屬跨境性質，上述措施甚具瓦解該等集團的功能。不僅是偵查互助工作產生實質功能，引渡及控制下交付等措施均在實務上證實為打擊毒品販運網絡的有力工具（林健陽、柯雨瑞，2003）。儘管如此，仍有許多困難待克服。例如，有些地區需將控制下交付納入警察重要的績效指標中，否則參與此類跨境執法勤務難免排擠原本執行其他勤務的資源，導致這些地區的警察缺乏參與此類跨境勤務的意願（Vermeulen, 2005）。</w:t>
      </w:r>
    </w:p>
    <w:p>
      <w:pPr>
        <w:ind w:firstLine="480"/>
        <w:rPr>
          <w:rFonts w:hint="eastAsia" w:ascii="宋体" w:hAnsi="宋体" w:eastAsia="宋体" w:cs="宋体"/>
          <w:sz w:val="24"/>
          <w:szCs w:val="24"/>
        </w:rPr>
      </w:pPr>
      <w:r>
        <w:rPr>
          <w:rFonts w:hint="eastAsia" w:ascii="宋体" w:hAnsi="宋体" w:eastAsia="宋体" w:cs="宋体"/>
          <w:sz w:val="24"/>
          <w:szCs w:val="24"/>
        </w:rPr>
        <w:t>所謂控制下交付，係指在全程監控下，允許非法貨品運送至其目的地（Brandl, 2014）。1988年聯合國禁止非法販運麻醉藥品和影響精神物質公約第一條將控制下交付定義如下：「控制下交付係指一種技術，即在一國或多國的主管當局知情或監督下，允許貨物中非法或可疑的麻醉藥品、精神物質、本公約表一和表二所列物質或它們的替代物質運出、通過或運入其領土，以期查明涉及按本公約第三條第一款確定的犯罪的人。」許多地區早期較無此種觀念，且未有法律授權，刑事司法機關鮮少實施控制下交付。臺灣地區為配合跨境打擊毒品工作，於2003年增修「毒品危害防制條例」第三十二條之一及第三十二條之二等規定</w:t>
      </w:r>
      <w:r>
        <w:rPr>
          <w:rStyle w:val="39"/>
          <w:rFonts w:hint="eastAsia" w:ascii="楷体" w:hAnsi="楷体" w:eastAsia="楷体" w:cs="楷体"/>
          <w:sz w:val="28"/>
          <w:szCs w:val="28"/>
        </w:rPr>
        <w:endnoteReference w:id="1"/>
      </w:r>
      <w:r>
        <w:rPr>
          <w:rFonts w:hint="eastAsia" w:ascii="宋体" w:hAnsi="宋体" w:eastAsia="宋体" w:cs="宋体"/>
          <w:sz w:val="24"/>
          <w:szCs w:val="24"/>
        </w:rPr>
        <w:t>，有關單位始能於法有據運用控制下交付之執法行動</w:t>
      </w:r>
      <w:r>
        <w:rPr>
          <w:rStyle w:val="39"/>
          <w:rFonts w:hint="eastAsia" w:ascii="楷体" w:hAnsi="楷体" w:eastAsia="楷体" w:cs="楷体"/>
          <w:sz w:val="28"/>
          <w:szCs w:val="28"/>
        </w:rPr>
        <w:endnoteReference w:id="2"/>
      </w:r>
      <w:r>
        <w:rPr>
          <w:rFonts w:hint="eastAsia" w:ascii="宋体" w:hAnsi="宋体" w:eastAsia="宋体" w:cs="宋体"/>
          <w:sz w:val="24"/>
          <w:szCs w:val="24"/>
        </w:rPr>
        <w:t>。</w:t>
      </w:r>
    </w:p>
    <w:p>
      <w:pPr>
        <w:ind w:firstLine="480"/>
        <w:rPr>
          <w:rFonts w:hint="eastAsia" w:ascii="宋体" w:hAnsi="宋体" w:eastAsia="宋体" w:cs="宋体"/>
          <w:sz w:val="24"/>
          <w:szCs w:val="24"/>
        </w:rPr>
      </w:pPr>
      <w:r>
        <w:rPr>
          <w:rFonts w:hint="eastAsia" w:ascii="宋体" w:hAnsi="宋体" w:eastAsia="宋体" w:cs="宋体"/>
          <w:sz w:val="24"/>
          <w:szCs w:val="24"/>
        </w:rPr>
        <w:t>打擊洗錢及沒收犯罪所得的立法，是另一重要的合作領域。毒品販運的目的是為獲取利益，因此剝奪販毒者的不法利益，可予販毒者強大打擊。跨境間對此領域的認同是非常重要的，因此才能避免政治人士在遭受境內壓力後只考慮境內的投資與就業需求（經洗錢後，販毒者利用該錢進行投資與創造就業機會），而忽略打擊洗錢及沒收犯罪所得財物的重要性（Williams, 2001; Zagaris, 2010）。在這點上，打擊洗錢與當地政府沒收販毒所得兩者之間的連結便是非常重要的。1988年反毒公約的第五條規定會員國應採取必要措施要求有關機構辨識、追蹤、凍結或扣押毒品販運衍生的財物，而且不能以銀行保密為理由而不執行本條款。並由被告承擔沒收財物來源是否為合法的舉證責任，以提升沒收犯罪財物的可能性。</w:t>
      </w:r>
    </w:p>
    <w:p>
      <w:pPr>
        <w:ind w:firstLine="480"/>
        <w:rPr>
          <w:rFonts w:hint="eastAsia" w:ascii="宋体" w:hAnsi="宋体" w:eastAsia="宋体" w:cs="宋体"/>
          <w:sz w:val="24"/>
          <w:szCs w:val="24"/>
        </w:rPr>
      </w:pPr>
      <w:r>
        <w:rPr>
          <w:rFonts w:hint="eastAsia" w:ascii="宋体" w:hAnsi="宋体" w:eastAsia="宋体" w:cs="宋体"/>
          <w:sz w:val="24"/>
          <w:szCs w:val="24"/>
        </w:rPr>
        <w:t>防制先驅化學物質轉換原用途至毒品製造的措施，是1988年反毒公約另一要項。許多秘密的製毒工廠因此被瓦解，因而預防許多非法製造毒品案件的發生。此等措施的關鍵是這些化學物質原有許多合法用途，除非受適當監控，否則極易用於非法領域（楊士隆，2008； Paatero, 2010）。控制先驅物質（precursor control）是毒品控制的要項之一，尤其是安非他命類的合成毒品。就安非他命類興奮劑而言，這是減少供給（supply reduction）的主要措施，類似控制罌粟及古柯樹的栽種。跨境間若缺乏控制先驅物質的機制，則很難說服化學業者拒接某些客戶的訂單，放棄賺錢機會，尤其是當其他地區的業者也可提供這些化學物質時。</w:t>
      </w:r>
    </w:p>
    <w:p>
      <w:pPr>
        <w:ind w:firstLine="480"/>
        <w:rPr>
          <w:rFonts w:hint="eastAsia" w:ascii="宋体" w:hAnsi="宋体" w:eastAsia="宋体" w:cs="宋体"/>
        </w:rPr>
      </w:pPr>
      <w:r>
        <w:rPr>
          <w:rFonts w:hint="eastAsia" w:ascii="宋体" w:hAnsi="宋体" w:eastAsia="宋体" w:cs="宋体"/>
        </w:rPr>
        <w:t>就執行層面而言，地區內部以及跨境間不同執法部門的緊密合作，是毒品管制能否有效的必要條件。為促進執法部門的跨境合作，「聯合國麻醉藥品委員會」（U.N. Commission on Narcotic Drugs, CND）及其所屬執法委員會－「各國執法機關首長會議」（HONLEA meetings, meetings of the Heads of National Law Enforcement Agencies）因而創立，作為跨境合作的一個架構，會議中經常探討與各國利益有關的議題。各國與會代表可以藉由面對面接觸的方式及彼此間所建立的網絡，進行立即性或長期性的情資交流。</w:t>
      </w:r>
    </w:p>
    <w:p>
      <w:pPr>
        <w:ind w:firstLine="480"/>
      </w:pPr>
      <w:r>
        <w:rPr>
          <w:rFonts w:hint="eastAsia" w:ascii="宋体" w:hAnsi="宋体" w:eastAsia="宋体" w:cs="宋体"/>
        </w:rPr>
        <w:t>近年來，「跨境反販運行動」（International Anti-trafficking Operation）是另一重要的執行方案。例如，紫色行動（Operation Purple, 目標是過錳酸鉀，製造古柯鹼的先驅化學物質）、黃玉行動（Operation Topaz, 目標是醋酸酐，製造海洛因的先驅化學物質）、稜柱行動（Operation Prism, 目標是安非他命類的先驅化學物質）。參與行動的單位主要是有關地區的執法機關、麻醉藥品管制局（International Narcotics Control Board）及其他相關單位共同合作，評估資料顯示這些行動成功遏止許多先驅化學物質被用於非法毒品製造（Chawla &amp; Pietschmann, 2005）。</w:t>
      </w:r>
    </w:p>
    <w:p>
      <w:pPr>
        <w:ind w:firstLine="480"/>
        <w:rPr>
          <w:rFonts w:hint="eastAsia" w:ascii="宋体" w:hAnsi="宋体" w:eastAsia="宋体" w:cs="宋体"/>
        </w:rPr>
      </w:pPr>
      <w:r>
        <w:rPr>
          <w:rFonts w:hint="eastAsia" w:ascii="宋体" w:hAnsi="宋体" w:eastAsia="宋体" w:cs="宋体"/>
        </w:rPr>
        <w:t>1998年聯合國大會特殊議程－共同致力於反毒（1998 Special Session of the U.N. General Assembly, Devoted to Countering the Drug Problem Together），也為強化毒品管制及防制毒品販運注入新力量。該會議通過一項宣言以及諸多加強跨境合作的行動計畫與措施，抗制世界毒品問題。其中最重要的項目如下：</w:t>
      </w:r>
    </w:p>
    <w:p>
      <w:pPr>
        <w:numPr>
          <w:numId w:val="0"/>
        </w:numPr>
        <w:tabs>
          <w:tab w:val="left" w:pos="993"/>
        </w:tabs>
        <w:ind w:left="480" w:leftChars="0"/>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安非他命類興奮劑（ATS）</w:t>
      </w:r>
    </w:p>
    <w:p>
      <w:pPr>
        <w:numPr>
          <w:numId w:val="0"/>
        </w:numPr>
        <w:ind w:left="480" w:leftChars="0"/>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先驅化學物質</w:t>
      </w:r>
    </w:p>
    <w:p>
      <w:pPr>
        <w:numPr>
          <w:numId w:val="0"/>
        </w:numPr>
        <w:ind w:left="480" w:leftChars="0"/>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司法合作</w:t>
      </w:r>
    </w:p>
    <w:p>
      <w:pPr>
        <w:numPr>
          <w:numId w:val="0"/>
        </w:numPr>
        <w:ind w:left="480" w:leftChars="0"/>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洗錢</w:t>
      </w:r>
    </w:p>
    <w:p>
      <w:pPr>
        <w:numPr>
          <w:numId w:val="0"/>
        </w:numPr>
        <w:ind w:left="480" w:leftChars="0"/>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剷除毒品栽種</w:t>
      </w:r>
    </w:p>
    <w:p>
      <w:pPr>
        <w:ind w:firstLine="480"/>
        <w:rPr>
          <w:rFonts w:hint="eastAsia" w:ascii="宋体" w:hAnsi="宋体" w:eastAsia="宋体" w:cs="宋体"/>
        </w:rPr>
      </w:pPr>
      <w:r>
        <w:rPr>
          <w:rFonts w:hint="eastAsia" w:ascii="宋体" w:hAnsi="宋体" w:eastAsia="宋体" w:cs="宋体"/>
        </w:rPr>
        <w:t>針對防制安非他命類興奮劑的主要措施是：（1）加強與化學業界密切合作，建立ATS先驅化學物質交易管理措施或規範；（2）廣泛推行出口前通報制度；（3）監控未列入表中的可能先驅化學物質，並針對該類物質建立跨境特殊監控表。另針對ATS製造完成品，該行動計畫在ATS有關的交易網絡中引進「認識你的客戶」（KYC, know your customer）原則、引進非法市場出現新ATS的迅速辨識機制，以及在必要時迅速將新ATS列入管制的措施。該行動計畫還要求會員國改善ATS的資料收集系統，以期獲得更準確的資料，包括地下製毒場的規模、製毒方法、使用的先驅化學物質、價格、純度、來源等（Bean, 2008）。</w:t>
      </w:r>
    </w:p>
    <w:p>
      <w:pPr>
        <w:ind w:firstLine="480"/>
        <w:rPr>
          <w:rFonts w:hint="eastAsia" w:ascii="宋体" w:hAnsi="宋体" w:eastAsia="宋体" w:cs="宋体"/>
        </w:rPr>
      </w:pPr>
      <w:r>
        <w:rPr>
          <w:rFonts w:hint="eastAsia" w:ascii="宋体" w:hAnsi="宋体" w:eastAsia="宋体" w:cs="宋体"/>
        </w:rPr>
        <w:t>為防止原用於正當用途的先驅化學物質轉換為製毒，新防範措施特別重視：（1）建立控管和許可證制度，管理1998年公約中所列先驅化學物質的製造與配銷企業和個人；（2）建立先驅化學物質跨境交易的監控系統，調查可疑貨運；（3）改善相關犯罪情資的交流；（4）製造及銷售先驅化學物質之企業與個人遵循「認識你的客戶」原則，加諸賣方調查客戶是否合法使用此類化學物質的責任。</w:t>
      </w:r>
    </w:p>
    <w:p>
      <w:pPr>
        <w:ind w:firstLine="480"/>
      </w:pPr>
      <w:r>
        <w:rPr>
          <w:rFonts w:hint="eastAsia" w:ascii="宋体" w:hAnsi="宋体" w:eastAsia="宋体" w:cs="宋体"/>
        </w:rPr>
        <w:t>有關促進司法合作措施方面，主要議題如下：引渡、司法互助、訴訟移轉、控制下交付、海上非法販運、人員合作培訓等。基本上，這些議題先前已在1988年公約中提及，考量社會變遷及科技精進等現象，對其再予修飾及精粹化。例如，結合影音的通訊科技被運用在獲取證人陳述與證言的用途，加速了司法程序的進行且節省成本。</w:t>
      </w:r>
    </w:p>
    <w:p>
      <w:pPr>
        <w:ind w:firstLine="480"/>
        <w:rPr>
          <w:rFonts w:hint="eastAsia" w:ascii="宋体" w:hAnsi="宋体" w:eastAsia="宋体" w:cs="宋体"/>
        </w:rPr>
      </w:pPr>
      <w:r>
        <w:rPr>
          <w:rFonts w:hint="eastAsia" w:ascii="宋体" w:hAnsi="宋体" w:eastAsia="宋体" w:cs="宋体"/>
        </w:rPr>
        <w:t>洗錢防制措施主要是依循1988年公約中的相關條款，諸如犯罪化洗錢行為，鑑定、凍結、扣押及沒收販毒利益，針對涉及洗錢案件要求相關地區合作執行司法互助等（孟維德，2013）。具體言之，即要求各國政府建立有效的金融及監管機制，尤其是有效設計與執行客戶身份的鑑定與查核機制、落實「認識你的客戶」原則、強制執行可疑金融活動的通報制度、排除銀行保密障礙等，以阻絕犯罪者及其非法資金進入境內與跨境金融體系。更重要的是，新措施包含「防制洗錢金融行動工作組織」（Financial Action Task Force, FATF）制定的40項反洗錢建議，提供各國擬定與執行洗錢防制措施的參考（Leaf, 2006）。</w:t>
      </w:r>
    </w:p>
    <w:p>
      <w:pPr>
        <w:ind w:firstLine="480"/>
        <w:rPr>
          <w:rFonts w:hint="eastAsia" w:ascii="宋体" w:hAnsi="宋体" w:eastAsia="宋体" w:cs="宋体"/>
        </w:rPr>
      </w:pPr>
      <w:r>
        <w:rPr>
          <w:rFonts w:hint="eastAsia" w:ascii="宋体" w:hAnsi="宋体" w:eastAsia="宋体" w:cs="宋体"/>
        </w:rPr>
        <w:t>最後，「跨境合作剷除非法毒品栽種及發展替代農作物行動計畫」（Action Plan on International Cooperation on the Eradication of Illicit Drug Crops and on Alternative Development）要求會員制定策略，以減少及剷除非法毒品栽種。減少及剷除非法毒品栽種的策略應包括全面性措施，諸如替代栽種方案、執法及剷除方案等。</w:t>
      </w:r>
    </w:p>
    <w:p>
      <w:pPr>
        <w:ind w:firstLine="480"/>
      </w:pPr>
      <w:r>
        <w:rPr>
          <w:rFonts w:hint="eastAsia" w:ascii="宋体" w:hAnsi="宋体" w:eastAsia="宋体" w:cs="宋体"/>
        </w:rPr>
        <w:t>剷除非法毒品栽種，可說是毒品販運的治本問題，有關的具體措施，該行動計畫訂定了明確指導方針，這是全球首例。對於低收入的毒品栽種農民而言，輔導改種其他農作物會比與強制剷除措施更具可行性，不僅經濟且對當地社會較具貢獻。在可行替代栽種方案尚未創造出足夠農民生存之替代性收入的地區，實行強制性剷除措施極可能妨礙替代栽種方案的發展。相對的，當組織犯罪集團參與非法毒品栽種及毒品生產時，則剷除、銷毀非法毒品作物及逮捕相關人員是極具適當性的。此外，該行動計畫還強調執法措施的重要性，認為執法是替代栽種方案的必要配套措施，因為有效執法始能阻截其他的非法活動，諸如經營非法製毒工廠、改變先驅化學物質原用途於製毒、販運活動、洗錢及組織犯罪有關活動等。全面性執法方案會影響非法栽種毒品作物的獲利，在利潤降低的情形下，替代栽種方案的合法獲利便更具競爭力與吸引力（Roberg, Novak, Cordner &amp; Smith, 2014）。在替代栽種方案已可提供足讓農民生活之合法收入的地區，非法毒品作物的持續栽種者就應是執法措施的目標。</w:t>
      </w:r>
    </w:p>
    <w:p>
      <w:pPr>
        <w:ind w:firstLine="480"/>
      </w:pPr>
      <w:r>
        <w:rPr>
          <w:rFonts w:hint="eastAsia" w:ascii="宋体" w:hAnsi="宋体" w:eastAsia="宋体" w:cs="宋体"/>
        </w:rPr>
        <w:t>當然，上述措施並無法完全制止毒品販運活動。但這些措施至少已減緩毒品販運惡化的速度，近年統計數據甚至顯示有衰退跡象，相較於過去幾十年毒品販運惡化的歷史背景，這些措施確實在毒品防制上呈現正面效能。分析這些措施的內容，可以看出「聯合國毒品及犯罪問題辦公室」（UNODC）採取的是一種平衡策略，也就是設法降低毒品的需求與供給。打擊毒品販運，無疑是聯合國反毒策略中的要素，因為它降低了毒品需求（毒品在消費市場上的價格因而提高）及生產國的毒品供給（替代作物的收益比毒品作物高）。未來如欲在打擊毒品販運活動上獲得更豐碩的成果，「境內及跨境間各執法部門密切合作」絕對是不可或缺的前提。事實上，唯有如此才能對抗販毒集團的全球化趨勢。近年跨境執法合作儘管已展現成就，但仍有許多待努力之處。跨境合作架構現已存在，只是各國需要付出更多努力使其功能發揮。</w:t>
      </w:r>
    </w:p>
    <w:p>
      <w:pPr>
        <w:ind w:firstLine="480"/>
      </w:pPr>
    </w:p>
    <w:p>
      <w:pPr>
        <w:spacing w:line="240" w:lineRule="auto"/>
        <w:ind w:firstLine="440"/>
        <w:rPr>
          <w:sz w:val="22"/>
          <w:szCs w:val="22"/>
        </w:rPr>
      </w:pPr>
      <w:r>
        <w:rPr>
          <w:rFonts w:ascii="Times New Roman" w:hAnsi="Times New Roman" w:eastAsia="宋体" w:cs="Times New Roman"/>
          <w:kern w:val="2"/>
          <w:sz w:val="22"/>
          <w:szCs w:val="22"/>
          <w:lang w:val="en-US" w:eastAsia="zh-CN" w:bidi="ar-SA"/>
        </w:rPr>
        <w:pict>
          <v:shape id="Straight Connector 349" o:spid="_x0000_s1063" type="#_x0000_t32" style="position:absolute;left:0;margin-left:3.25pt;margin-top:9.75pt;height:0.05pt;width:139.2pt;rotation:0f;z-index:251658240;"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p>
    <w:p>
      <w:pPr>
        <w:pStyle w:val="4"/>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參考文獻</w:t>
      </w:r>
      <w:r>
        <w:rPr>
          <w:rFonts w:hint="eastAsia" w:ascii="黑体" w:hAnsi="黑体" w:eastAsia="黑体" w:cs="黑体"/>
          <w:sz w:val="24"/>
          <w:szCs w:val="24"/>
          <w:lang w:val="en-US" w:eastAsia="zh-CN"/>
        </w:rPr>
        <w:t>:</w:t>
      </w:r>
    </w:p>
    <w:p>
      <w:pPr>
        <w:ind w:left="270" w:hanging="270" w:hangingChars="150"/>
        <w:rPr>
          <w:rFonts w:hint="eastAsia" w:ascii="楷体" w:hAnsi="楷体" w:eastAsia="楷体" w:cs="楷体"/>
          <w:sz w:val="21"/>
          <w:szCs w:val="21"/>
        </w:rPr>
      </w:pPr>
      <w:r>
        <w:rPr>
          <w:rFonts w:hint="eastAsia" w:ascii="楷体" w:hAnsi="楷体" w:eastAsia="楷体" w:cs="楷体"/>
          <w:sz w:val="21"/>
          <w:szCs w:val="21"/>
        </w:rPr>
        <w:t>（一）中文部份</w:t>
      </w:r>
    </w:p>
    <w:p>
      <w:p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①</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法務部门（2014）。《犯罪狀況及其分析》。法務部门保護司編輯</w:t>
      </w:r>
      <w:r>
        <w:rPr>
          <w:rFonts w:hint="eastAsia" w:ascii="楷体" w:hAnsi="楷体" w:eastAsia="楷体" w:cs="楷体"/>
          <w:sz w:val="21"/>
          <w:szCs w:val="21"/>
          <w:lang w:val="en-US" w:eastAsia="zh-CN"/>
        </w:rPr>
        <w:t>.</w:t>
      </w:r>
      <w:bookmarkStart w:id="3" w:name="_GoBack"/>
      <w:bookmarkEnd w:id="3"/>
    </w:p>
    <w:p>
      <w:p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②</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法務部门調查局（2013）。《毒品犯罪防制年報》。法務部门調查局編輯</w:t>
      </w:r>
      <w:r>
        <w:rPr>
          <w:rFonts w:hint="eastAsia" w:ascii="楷体" w:hAnsi="楷体" w:eastAsia="楷体" w:cs="楷体"/>
          <w:sz w:val="21"/>
          <w:szCs w:val="21"/>
          <w:lang w:val="en-US" w:eastAsia="zh-CN"/>
        </w:rPr>
        <w:t>.</w:t>
      </w:r>
    </w:p>
    <w:p>
      <w:p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③</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林健陽、柯雨瑞（2003）。《毒品犯罪與防治》。中央警察大學出版社</w:t>
      </w:r>
      <w:r>
        <w:rPr>
          <w:rFonts w:hint="eastAsia" w:ascii="楷体" w:hAnsi="楷体" w:eastAsia="楷体" w:cs="楷体"/>
          <w:sz w:val="21"/>
          <w:szCs w:val="21"/>
          <w:lang w:val="en-US" w:eastAsia="zh-CN"/>
        </w:rPr>
        <w:t>.</w:t>
      </w:r>
    </w:p>
    <w:p>
      <w:p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④</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孟維德（2014）。《犯罪分析與安全治理（增訂新版）》。五南圖書出版公司</w:t>
      </w:r>
      <w:r>
        <w:rPr>
          <w:rFonts w:hint="eastAsia" w:ascii="楷体" w:hAnsi="楷体" w:eastAsia="楷体" w:cs="楷体"/>
          <w:sz w:val="21"/>
          <w:szCs w:val="21"/>
          <w:lang w:val="en-US" w:eastAsia="zh-CN"/>
        </w:rPr>
        <w:t>.</w:t>
      </w:r>
    </w:p>
    <w:p>
      <w:p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⑤</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孟維德（2013）。《跨境犯罪（修訂第二版）》。五南圖書出版公司</w:t>
      </w:r>
      <w:r>
        <w:rPr>
          <w:rFonts w:hint="eastAsia" w:ascii="楷体" w:hAnsi="楷体" w:eastAsia="楷体" w:cs="楷体"/>
          <w:sz w:val="21"/>
          <w:szCs w:val="21"/>
          <w:lang w:val="en-US" w:eastAsia="zh-CN"/>
        </w:rPr>
        <w:t>.</w:t>
      </w:r>
    </w:p>
    <w:p>
      <w:p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⑥</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許華孚、劉育偉（2012）。懲罰觀的新視野－從監禁率之減少探討芬蘭刑事政策之演進。《涉</w:t>
      </w:r>
    </w:p>
    <w:p>
      <w:pPr>
        <w:ind w:left="0" w:leftChars="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外執法與政策學報》，第二期，頁33-55</w:t>
      </w:r>
      <w:r>
        <w:rPr>
          <w:rFonts w:hint="eastAsia" w:ascii="楷体" w:hAnsi="楷体" w:eastAsia="楷体" w:cs="楷体"/>
          <w:sz w:val="21"/>
          <w:szCs w:val="21"/>
          <w:lang w:val="en-US" w:eastAsia="zh-CN"/>
        </w:rPr>
        <w:t>.</w:t>
      </w:r>
    </w:p>
    <w:p>
      <w:p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⑦</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楊士隆（2008）。《戒治機構內成癮嚴重性毒品施用者之管理與處遇模式建構》。行政主管部</w:t>
      </w:r>
    </w:p>
    <w:p>
      <w:pPr>
        <w:ind w:left="0" w:leftChars="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门研究發展考核委員會委託研究報告</w:t>
      </w:r>
      <w:r>
        <w:rPr>
          <w:rFonts w:hint="eastAsia" w:ascii="楷体" w:hAnsi="楷体" w:eastAsia="楷体" w:cs="楷体"/>
          <w:sz w:val="21"/>
          <w:szCs w:val="21"/>
          <w:lang w:val="en-US" w:eastAsia="zh-CN"/>
        </w:rPr>
        <w:t>.</w:t>
      </w:r>
    </w:p>
    <w:p>
      <w:pPr>
        <w:ind w:left="0" w:leftChars="0" w:firstLine="0" w:firstLineChars="0"/>
        <w:rPr>
          <w:rFonts w:ascii="方正楷体_GBK" w:hAnsi="楷体" w:eastAsia="方正楷体_GBK"/>
          <w:sz w:val="18"/>
          <w:szCs w:val="18"/>
        </w:rPr>
      </w:pPr>
      <w:r>
        <w:rPr>
          <w:rFonts w:hint="eastAsia" w:ascii="楷体" w:hAnsi="楷体" w:eastAsia="楷体" w:cs="楷体"/>
          <w:sz w:val="21"/>
          <w:szCs w:val="21"/>
        </w:rPr>
        <w:t>⑧</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楊士隆、李思賢（2012）。《藥物濫用、毒品與防治》。五南圖書出版公司</w:t>
      </w:r>
      <w:r>
        <w:rPr>
          <w:rFonts w:hint="eastAsia" w:ascii="楷体" w:hAnsi="楷体" w:eastAsia="楷体" w:cs="楷体"/>
          <w:sz w:val="21"/>
          <w:szCs w:val="21"/>
          <w:lang w:val="en-US" w:eastAsia="zh-CN"/>
        </w:rPr>
        <w:t>.</w:t>
      </w:r>
    </w:p>
    <w:p>
      <w:pPr>
        <w:ind w:left="271" w:hanging="271" w:hangingChars="150"/>
        <w:rPr>
          <w:rFonts w:ascii="方正楷体_GBK" w:hAnsi="MingLiU" w:eastAsia="方正楷体_GBK"/>
          <w:b/>
          <w:sz w:val="18"/>
          <w:szCs w:val="18"/>
        </w:rPr>
      </w:pPr>
    </w:p>
    <w:p>
      <w:pPr>
        <w:pStyle w:val="4"/>
        <w:spacing w:before="0" w:after="0" w:line="360" w:lineRule="exact"/>
        <w:ind w:left="270" w:hanging="270" w:hangingChars="150"/>
        <w:rPr>
          <w:rFonts w:ascii="方正楷体_GBK" w:eastAsia="方正楷体_GBK"/>
          <w:sz w:val="18"/>
          <w:szCs w:val="18"/>
        </w:rPr>
      </w:pPr>
      <w:r>
        <w:rPr>
          <w:rFonts w:hint="eastAsia" w:ascii="楷体" w:hAnsi="楷体" w:eastAsia="楷体" w:cs="楷体"/>
          <w:sz w:val="21"/>
          <w:szCs w:val="21"/>
        </w:rPr>
        <w:t>（二）英文部份</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Akers, R. L. &amp; Sellers, C. S. (2013). </w:t>
      </w:r>
      <w:r>
        <w:rPr>
          <w:rFonts w:hint="eastAsia" w:ascii="楷体" w:hAnsi="楷体" w:eastAsia="楷体" w:cs="楷体"/>
          <w:i/>
          <w:sz w:val="21"/>
          <w:szCs w:val="21"/>
        </w:rPr>
        <w:t>Criminological theories: Introduction, evaluation, and application</w:t>
      </w:r>
      <w:r>
        <w:rPr>
          <w:rFonts w:hint="eastAsia" w:ascii="楷体" w:hAnsi="楷体" w:eastAsia="楷体" w:cs="楷体"/>
          <w:sz w:val="21"/>
          <w:szCs w:val="21"/>
        </w:rPr>
        <w:t>. Oxford, UK: Oxford University Press.</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Andreas, P. &amp; Nadelmann, E. (2006). </w:t>
      </w:r>
      <w:r>
        <w:rPr>
          <w:rFonts w:hint="eastAsia" w:ascii="楷体" w:hAnsi="楷体" w:eastAsia="楷体" w:cs="楷体"/>
          <w:i/>
          <w:sz w:val="21"/>
          <w:szCs w:val="21"/>
        </w:rPr>
        <w:t>Policing the globe</w:t>
      </w:r>
      <w:r>
        <w:rPr>
          <w:rFonts w:hint="eastAsia" w:ascii="楷体" w:hAnsi="楷体" w:eastAsia="楷体" w:cs="楷体"/>
          <w:sz w:val="21"/>
          <w:szCs w:val="21"/>
        </w:rPr>
        <w:t>. New York: Oxford University Press.</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Bean, P. (2008). </w:t>
      </w:r>
      <w:r>
        <w:rPr>
          <w:rFonts w:hint="eastAsia" w:ascii="楷体" w:hAnsi="楷体" w:eastAsia="楷体" w:cs="楷体"/>
          <w:i/>
          <w:sz w:val="21"/>
          <w:szCs w:val="21"/>
        </w:rPr>
        <w:t>Drugs and crime. Devon.</w:t>
      </w:r>
      <w:r>
        <w:rPr>
          <w:rFonts w:hint="eastAsia" w:ascii="楷体" w:hAnsi="楷体" w:eastAsia="楷体" w:cs="楷体"/>
          <w:sz w:val="21"/>
          <w:szCs w:val="21"/>
        </w:rPr>
        <w:t xml:space="preserve"> UK: Willan Publishing.</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Bean, P. T. &amp; Nemitz, T. (2004). </w:t>
      </w:r>
      <w:r>
        <w:rPr>
          <w:rFonts w:hint="eastAsia" w:ascii="楷体" w:hAnsi="楷体" w:eastAsia="楷体" w:cs="楷体"/>
          <w:i/>
          <w:sz w:val="21"/>
          <w:szCs w:val="21"/>
        </w:rPr>
        <w:t>Drug treatment: What works?</w:t>
      </w:r>
      <w:r>
        <w:rPr>
          <w:rFonts w:hint="eastAsia" w:ascii="楷体" w:hAnsi="楷体" w:eastAsia="楷体" w:cs="楷体"/>
          <w:sz w:val="21"/>
          <w:szCs w:val="21"/>
        </w:rPr>
        <w:t xml:space="preserve"> London: Routledge.</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Brandl, S. G. (2014). </w:t>
      </w:r>
      <w:r>
        <w:rPr>
          <w:rFonts w:hint="eastAsia" w:ascii="楷体" w:hAnsi="楷体" w:eastAsia="楷体" w:cs="楷体"/>
          <w:i/>
          <w:sz w:val="21"/>
          <w:szCs w:val="21"/>
        </w:rPr>
        <w:t>Criminal investigation</w:t>
      </w:r>
      <w:r>
        <w:rPr>
          <w:rFonts w:hint="eastAsia" w:ascii="楷体" w:hAnsi="楷体" w:eastAsia="楷体" w:cs="楷体"/>
          <w:sz w:val="21"/>
          <w:szCs w:val="21"/>
        </w:rPr>
        <w:t>. Thousand Oaks, CA: Sage Publications.</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Brown, S. D. (2008). </w:t>
      </w:r>
      <w:r>
        <w:rPr>
          <w:rFonts w:hint="eastAsia" w:ascii="楷体" w:hAnsi="楷体" w:eastAsia="楷体" w:cs="楷体"/>
          <w:i/>
          <w:sz w:val="21"/>
          <w:szCs w:val="21"/>
        </w:rPr>
        <w:t>Combating international crime: The longer arm of the law</w:t>
      </w:r>
      <w:r>
        <w:rPr>
          <w:rFonts w:hint="eastAsia" w:ascii="楷体" w:hAnsi="楷体" w:eastAsia="楷体" w:cs="楷体"/>
          <w:sz w:val="21"/>
          <w:szCs w:val="21"/>
        </w:rPr>
        <w:t>. London: Routledge.</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Casey, J. (2010). </w:t>
      </w:r>
      <w:r>
        <w:rPr>
          <w:rFonts w:hint="eastAsia" w:ascii="楷体" w:hAnsi="楷体" w:eastAsia="楷体" w:cs="楷体"/>
          <w:i/>
          <w:sz w:val="21"/>
          <w:szCs w:val="21"/>
        </w:rPr>
        <w:t>Policing the world: The practice of international and transnational policing</w:t>
      </w:r>
      <w:r>
        <w:rPr>
          <w:rFonts w:hint="eastAsia" w:ascii="楷体" w:hAnsi="楷体" w:eastAsia="楷体" w:cs="楷体"/>
          <w:sz w:val="21"/>
          <w:szCs w:val="21"/>
        </w:rPr>
        <w:t>. Durham, NC: Carolina Academic Press.</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Chawla, S. &amp; Pietschmann, T. (2005). “Drug trafficking as a transnational crime,” pp.160-180 in P. Reichel (ed.), </w:t>
      </w:r>
      <w:r>
        <w:rPr>
          <w:rFonts w:hint="eastAsia" w:ascii="楷体" w:hAnsi="楷体" w:eastAsia="楷体" w:cs="楷体"/>
          <w:i/>
          <w:sz w:val="21"/>
          <w:szCs w:val="21"/>
        </w:rPr>
        <w:t>Handbook of transnational crime and justice</w:t>
      </w:r>
      <w:r>
        <w:rPr>
          <w:rFonts w:hint="eastAsia" w:ascii="楷体" w:hAnsi="楷体" w:eastAsia="楷体" w:cs="楷体"/>
          <w:sz w:val="21"/>
          <w:szCs w:val="21"/>
        </w:rPr>
        <w:t>. Thousand Oak, CA: Sage Publications.</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Corkery, J. (2003). </w:t>
      </w:r>
      <w:r>
        <w:rPr>
          <w:rFonts w:hint="eastAsia" w:ascii="楷体" w:hAnsi="楷体" w:eastAsia="楷体" w:cs="楷体"/>
          <w:i/>
          <w:sz w:val="21"/>
          <w:szCs w:val="21"/>
        </w:rPr>
        <w:t>The nature and extent of drug misuse in the UK: Official statistics, surveys and studies</w:t>
      </w:r>
      <w:r>
        <w:rPr>
          <w:rFonts w:hint="eastAsia" w:ascii="楷体" w:hAnsi="楷体" w:eastAsia="楷体" w:cs="楷体"/>
          <w:sz w:val="21"/>
          <w:szCs w:val="21"/>
        </w:rPr>
        <w:t>. Mimeo.</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Dorn, N., Levi, M. &amp; King, L. (2005).</w:t>
      </w:r>
      <w:r>
        <w:rPr>
          <w:rFonts w:hint="eastAsia" w:ascii="楷体" w:hAnsi="楷体" w:eastAsia="楷体" w:cs="楷体"/>
          <w:i/>
          <w:sz w:val="21"/>
          <w:szCs w:val="21"/>
        </w:rPr>
        <w:t xml:space="preserve"> Literature review on upper level drug trafficking. Home Office Online Report 22/05</w:t>
      </w:r>
      <w:r>
        <w:rPr>
          <w:rFonts w:hint="eastAsia" w:ascii="楷体" w:hAnsi="楷体" w:eastAsia="楷体" w:cs="楷体"/>
          <w:sz w:val="21"/>
          <w:szCs w:val="21"/>
        </w:rPr>
        <w:t>. London: Home Office.</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Farer, T. (1999). </w:t>
      </w:r>
      <w:r>
        <w:rPr>
          <w:rFonts w:hint="eastAsia" w:ascii="楷体" w:hAnsi="楷体" w:eastAsia="楷体" w:cs="楷体"/>
          <w:i/>
          <w:sz w:val="21"/>
          <w:szCs w:val="21"/>
        </w:rPr>
        <w:t>Transnational crime in the Americas</w:t>
      </w:r>
      <w:r>
        <w:rPr>
          <w:rFonts w:hint="eastAsia" w:ascii="楷体" w:hAnsi="楷体" w:eastAsia="楷体" w:cs="楷体"/>
          <w:sz w:val="21"/>
          <w:szCs w:val="21"/>
        </w:rPr>
        <w:t>. London: Routledge.</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Fortson, R. (2002). </w:t>
      </w:r>
      <w:r>
        <w:rPr>
          <w:rFonts w:hint="eastAsia" w:ascii="楷体" w:hAnsi="楷体" w:eastAsia="楷体" w:cs="楷体"/>
          <w:i/>
          <w:sz w:val="21"/>
          <w:szCs w:val="21"/>
        </w:rPr>
        <w:t>Misuse of drugs and drug trafficking offences</w:t>
      </w:r>
      <w:r>
        <w:rPr>
          <w:rFonts w:hint="eastAsia" w:ascii="楷体" w:hAnsi="楷体" w:eastAsia="楷体" w:cs="楷体"/>
          <w:sz w:val="21"/>
          <w:szCs w:val="21"/>
        </w:rPr>
        <w:t>. London: Sweet &amp; Maxwell.</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Frisher, M., Crome, I., MacLeod, J., Bloor, R. &amp; Hickman, M. (2007). </w:t>
      </w:r>
      <w:r>
        <w:rPr>
          <w:rFonts w:hint="eastAsia" w:ascii="楷体" w:hAnsi="楷体" w:eastAsia="楷体" w:cs="楷体"/>
          <w:i/>
          <w:sz w:val="21"/>
          <w:szCs w:val="21"/>
        </w:rPr>
        <w:t>Predictive factors for illicit drug use among young people: A literature review</w:t>
      </w:r>
      <w:r>
        <w:rPr>
          <w:rFonts w:hint="eastAsia" w:ascii="楷体" w:hAnsi="楷体" w:eastAsia="楷体" w:cs="楷体"/>
          <w:sz w:val="21"/>
          <w:szCs w:val="21"/>
        </w:rPr>
        <w:t>. Home Office Online Report 05/07. London: Home Office.</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HM Government (2005). </w:t>
      </w:r>
      <w:r>
        <w:rPr>
          <w:rFonts w:hint="eastAsia" w:ascii="楷体" w:hAnsi="楷体" w:eastAsia="楷体" w:cs="楷体"/>
          <w:i/>
          <w:sz w:val="21"/>
          <w:szCs w:val="21"/>
        </w:rPr>
        <w:t>Harm reduction: Tackling drug use and HIV in the developing world</w:t>
      </w:r>
      <w:r>
        <w:rPr>
          <w:rFonts w:hint="eastAsia" w:ascii="楷体" w:hAnsi="楷体" w:eastAsia="楷体" w:cs="楷体"/>
          <w:sz w:val="21"/>
          <w:szCs w:val="21"/>
        </w:rPr>
        <w:t>. London: HMSO.</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Kethineni, S. (2010). </w:t>
      </w:r>
      <w:r>
        <w:rPr>
          <w:rFonts w:hint="eastAsia" w:ascii="楷体" w:hAnsi="楷体" w:eastAsia="楷体" w:cs="楷体"/>
          <w:i/>
          <w:sz w:val="21"/>
          <w:szCs w:val="21"/>
        </w:rPr>
        <w:t>Comparative and international policing, justice, and transnational crime</w:t>
      </w:r>
      <w:r>
        <w:rPr>
          <w:rFonts w:hint="eastAsia" w:ascii="楷体" w:hAnsi="楷体" w:eastAsia="楷体" w:cs="楷体"/>
          <w:sz w:val="21"/>
          <w:szCs w:val="21"/>
        </w:rPr>
        <w:t>. Durham, NC: Carolina Academic Press.</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Lab, S. (2010). </w:t>
      </w:r>
      <w:r>
        <w:rPr>
          <w:rFonts w:hint="eastAsia" w:ascii="楷体" w:hAnsi="楷体" w:eastAsia="楷体" w:cs="楷体"/>
          <w:i/>
          <w:sz w:val="21"/>
          <w:szCs w:val="21"/>
        </w:rPr>
        <w:t>Crime prevention: Approaches, practices and evaluations</w:t>
      </w:r>
      <w:r>
        <w:rPr>
          <w:rFonts w:hint="eastAsia" w:ascii="楷体" w:hAnsi="楷体" w:eastAsia="楷体" w:cs="楷体"/>
          <w:sz w:val="21"/>
          <w:szCs w:val="21"/>
        </w:rPr>
        <w:t>. New Providence, NJ: Anderson Publishing.</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Leaf, M. (2006). </w:t>
      </w:r>
      <w:r>
        <w:rPr>
          <w:rFonts w:hint="eastAsia" w:ascii="楷体" w:hAnsi="楷体" w:eastAsia="楷体" w:cs="楷体"/>
          <w:i/>
          <w:sz w:val="21"/>
          <w:szCs w:val="21"/>
        </w:rPr>
        <w:t>Cross-border crime: defense rights in a new era of international judicial co-operation</w:t>
      </w:r>
      <w:r>
        <w:rPr>
          <w:rFonts w:hint="eastAsia" w:ascii="楷体" w:hAnsi="楷体" w:eastAsia="楷体" w:cs="楷体"/>
          <w:sz w:val="21"/>
          <w:szCs w:val="21"/>
        </w:rPr>
        <w:t>. London: Justice.</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Lemieux, F. (2010). </w:t>
      </w:r>
      <w:r>
        <w:rPr>
          <w:rFonts w:hint="eastAsia" w:ascii="楷体" w:hAnsi="楷体" w:eastAsia="楷体" w:cs="楷体"/>
          <w:i/>
          <w:sz w:val="21"/>
          <w:szCs w:val="21"/>
        </w:rPr>
        <w:t>International police cooperation: Emerging issues, theory and practice</w:t>
      </w:r>
      <w:r>
        <w:rPr>
          <w:rFonts w:hint="eastAsia" w:ascii="楷体" w:hAnsi="楷体" w:eastAsia="楷体" w:cs="楷体"/>
          <w:sz w:val="21"/>
          <w:szCs w:val="21"/>
        </w:rPr>
        <w:t>. Devon, UK: Willan Publishing.</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Mosher, C. J. &amp; Akins, S. (2007). </w:t>
      </w:r>
      <w:r>
        <w:rPr>
          <w:rFonts w:hint="eastAsia" w:ascii="楷体" w:hAnsi="楷体" w:eastAsia="楷体" w:cs="楷体"/>
          <w:i/>
          <w:sz w:val="21"/>
          <w:szCs w:val="21"/>
        </w:rPr>
        <w:t>Drugs and drug policy</w:t>
      </w:r>
      <w:r>
        <w:rPr>
          <w:rFonts w:hint="eastAsia" w:ascii="楷体" w:hAnsi="楷体" w:eastAsia="楷体" w:cs="楷体"/>
          <w:sz w:val="21"/>
          <w:szCs w:val="21"/>
        </w:rPr>
        <w:t>. Thousand Oak, CA: Sage Publications.</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Naim, M. (2005). </w:t>
      </w:r>
      <w:r>
        <w:rPr>
          <w:rFonts w:hint="eastAsia" w:ascii="楷体" w:hAnsi="楷体" w:eastAsia="楷体" w:cs="楷体"/>
          <w:i/>
          <w:sz w:val="21"/>
          <w:szCs w:val="21"/>
        </w:rPr>
        <w:t>Illicit: How smugglers, traffickers and copycats are hijacking the global economy</w:t>
      </w:r>
      <w:r>
        <w:rPr>
          <w:rFonts w:hint="eastAsia" w:ascii="楷体" w:hAnsi="楷体" w:eastAsia="楷体" w:cs="楷体"/>
          <w:sz w:val="21"/>
          <w:szCs w:val="21"/>
        </w:rPr>
        <w:t>. London: William Heinemann.</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Paatero, M. (2010). “Baltic Sea Region Task Force on organized crime,” p.5 in </w:t>
      </w:r>
      <w:r>
        <w:rPr>
          <w:rFonts w:hint="eastAsia" w:ascii="楷体" w:hAnsi="楷体" w:eastAsia="楷体" w:cs="楷体"/>
          <w:i/>
          <w:sz w:val="21"/>
          <w:szCs w:val="21"/>
        </w:rPr>
        <w:t>Baltic Rim Economies Bimonthly Review</w:t>
      </w:r>
      <w:r>
        <w:rPr>
          <w:rFonts w:hint="eastAsia" w:ascii="楷体" w:hAnsi="楷体" w:eastAsia="楷体" w:cs="楷体"/>
          <w:sz w:val="21"/>
          <w:szCs w:val="21"/>
        </w:rPr>
        <w:t>, Issue No. 5.</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Roberg, R., Novak, K., Cordner, G. &amp; Smith, B. (2014). </w:t>
      </w:r>
      <w:r>
        <w:rPr>
          <w:rFonts w:hint="eastAsia" w:ascii="楷体" w:hAnsi="楷体" w:eastAsia="楷体" w:cs="楷体"/>
          <w:i/>
          <w:sz w:val="21"/>
          <w:szCs w:val="21"/>
        </w:rPr>
        <w:t>Police and Society</w:t>
      </w:r>
      <w:r>
        <w:rPr>
          <w:rFonts w:hint="eastAsia" w:ascii="楷体" w:hAnsi="楷体" w:eastAsia="楷体" w:cs="楷体"/>
          <w:sz w:val="21"/>
          <w:szCs w:val="21"/>
        </w:rPr>
        <w:t>. Oxford, UK: Oxford University Press.</w:t>
      </w:r>
    </w:p>
    <w:p>
      <w:pPr>
        <w:pStyle w:val="49"/>
        <w:ind w:left="270" w:hanging="270" w:hangingChars="150"/>
        <w:rPr>
          <w:rFonts w:hint="eastAsia" w:ascii="楷体" w:hAnsi="楷体" w:eastAsia="楷体" w:cs="楷体"/>
          <w:i/>
          <w:iCs/>
          <w:sz w:val="21"/>
          <w:szCs w:val="21"/>
        </w:rPr>
      </w:pPr>
      <w:r>
        <w:rPr>
          <w:rFonts w:hint="eastAsia" w:ascii="楷体" w:hAnsi="楷体" w:eastAsia="楷体" w:cs="楷体"/>
          <w:sz w:val="21"/>
          <w:szCs w:val="21"/>
        </w:rPr>
        <w:t xml:space="preserve">U.N. Office on Drugs and Crime, UNODC (2009). </w:t>
      </w:r>
      <w:r>
        <w:rPr>
          <w:rFonts w:hint="eastAsia" w:ascii="楷体" w:hAnsi="楷体" w:eastAsia="楷体" w:cs="楷体"/>
          <w:i/>
          <w:iCs/>
          <w:sz w:val="21"/>
          <w:szCs w:val="21"/>
        </w:rPr>
        <w:t>WORLD DRUG REPORT 2009.</w:t>
      </w:r>
    </w:p>
    <w:p>
      <w:pPr>
        <w:pStyle w:val="49"/>
        <w:ind w:left="270" w:hanging="270" w:hangingChars="150"/>
        <w:rPr>
          <w:rFonts w:hint="eastAsia" w:ascii="楷体" w:hAnsi="楷体" w:eastAsia="楷体" w:cs="楷体"/>
          <w:i/>
          <w:iCs/>
          <w:sz w:val="21"/>
          <w:szCs w:val="21"/>
        </w:rPr>
      </w:pPr>
      <w:r>
        <w:rPr>
          <w:rFonts w:hint="eastAsia" w:ascii="楷体" w:hAnsi="楷体" w:eastAsia="楷体" w:cs="楷体"/>
          <w:sz w:val="21"/>
          <w:szCs w:val="21"/>
        </w:rPr>
        <w:t xml:space="preserve">U.N. Office on Drugs and Crime, UNODC (2013). </w:t>
      </w:r>
      <w:r>
        <w:rPr>
          <w:rFonts w:hint="eastAsia" w:ascii="楷体" w:hAnsi="楷体" w:eastAsia="楷体" w:cs="楷体"/>
          <w:i/>
          <w:iCs/>
          <w:sz w:val="21"/>
          <w:szCs w:val="21"/>
        </w:rPr>
        <w:t>WORLD DRUG REPORT 2013.</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Vander Beken, T. (2006). </w:t>
      </w:r>
      <w:r>
        <w:rPr>
          <w:rFonts w:hint="eastAsia" w:ascii="楷体" w:hAnsi="楷体" w:eastAsia="楷体" w:cs="楷体"/>
          <w:i/>
          <w:sz w:val="21"/>
          <w:szCs w:val="21"/>
        </w:rPr>
        <w:t>European organized crime scenarios for 2015</w:t>
      </w:r>
      <w:r>
        <w:rPr>
          <w:rFonts w:hint="eastAsia" w:ascii="楷体" w:hAnsi="楷体" w:eastAsia="楷体" w:cs="楷体"/>
          <w:sz w:val="21"/>
          <w:szCs w:val="21"/>
        </w:rPr>
        <w:t>. Antwerpen: Maklu.</w:t>
      </w:r>
    </w:p>
    <w:p>
      <w:pPr>
        <w:pStyle w:val="49"/>
        <w:ind w:left="270" w:hanging="270" w:hangingChars="150"/>
        <w:rPr>
          <w:rFonts w:hint="eastAsia" w:ascii="楷体" w:hAnsi="楷体" w:eastAsia="楷体" w:cs="楷体"/>
          <w:i/>
          <w:iCs/>
          <w:sz w:val="21"/>
          <w:szCs w:val="21"/>
        </w:rPr>
      </w:pPr>
      <w:r>
        <w:rPr>
          <w:rFonts w:hint="eastAsia" w:ascii="楷体" w:hAnsi="楷体" w:eastAsia="楷体" w:cs="楷体"/>
          <w:sz w:val="21"/>
          <w:szCs w:val="21"/>
        </w:rPr>
        <w:t xml:space="preserve">Vermeulen, G. (2005). </w:t>
      </w:r>
      <w:r>
        <w:rPr>
          <w:rFonts w:hint="eastAsia" w:ascii="楷体" w:hAnsi="楷体" w:eastAsia="楷体" w:cs="楷体"/>
          <w:i/>
          <w:sz w:val="21"/>
          <w:szCs w:val="21"/>
        </w:rPr>
        <w:t>Essential texts on international and European criminal law</w:t>
      </w:r>
      <w:r>
        <w:rPr>
          <w:rFonts w:hint="eastAsia" w:ascii="楷体" w:hAnsi="楷体" w:eastAsia="楷体" w:cs="楷体"/>
          <w:sz w:val="21"/>
          <w:szCs w:val="21"/>
        </w:rPr>
        <w:t>. Antwerpen: Maklu.</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Williams, P. &amp; Vlassis, D. (2001). </w:t>
      </w:r>
      <w:r>
        <w:rPr>
          <w:rFonts w:hint="eastAsia" w:ascii="楷体" w:hAnsi="楷体" w:eastAsia="楷体" w:cs="楷体"/>
          <w:i/>
          <w:sz w:val="21"/>
          <w:szCs w:val="21"/>
        </w:rPr>
        <w:t>Combating transnational crime: Concepts, activities and responses</w:t>
      </w:r>
      <w:r>
        <w:rPr>
          <w:rFonts w:hint="eastAsia" w:ascii="楷体" w:hAnsi="楷体" w:eastAsia="楷体" w:cs="楷体"/>
          <w:sz w:val="21"/>
          <w:szCs w:val="21"/>
        </w:rPr>
        <w:t>. London: Frank Cass.</w:t>
      </w:r>
    </w:p>
    <w:p>
      <w:pPr>
        <w:pStyle w:val="49"/>
        <w:ind w:left="270" w:hanging="270" w:hangingChars="150"/>
        <w:rPr>
          <w:rFonts w:hint="eastAsia" w:ascii="楷体" w:hAnsi="楷体" w:eastAsia="楷体" w:cs="楷体"/>
          <w:sz w:val="21"/>
          <w:szCs w:val="21"/>
        </w:rPr>
      </w:pPr>
      <w:r>
        <w:rPr>
          <w:rFonts w:hint="eastAsia" w:ascii="楷体" w:hAnsi="楷体" w:eastAsia="楷体" w:cs="楷体"/>
          <w:sz w:val="21"/>
          <w:szCs w:val="21"/>
        </w:rPr>
        <w:t xml:space="preserve">Wright, A. (2006). </w:t>
      </w:r>
      <w:r>
        <w:rPr>
          <w:rFonts w:hint="eastAsia" w:ascii="楷体" w:hAnsi="楷体" w:eastAsia="楷体" w:cs="楷体"/>
          <w:i/>
          <w:sz w:val="21"/>
          <w:szCs w:val="21"/>
        </w:rPr>
        <w:t>Organized crime</w:t>
      </w:r>
      <w:r>
        <w:rPr>
          <w:rFonts w:hint="eastAsia" w:ascii="楷体" w:hAnsi="楷体" w:eastAsia="楷体" w:cs="楷体"/>
          <w:sz w:val="21"/>
          <w:szCs w:val="21"/>
        </w:rPr>
        <w:t>. Cullompton: Willan.</w:t>
      </w:r>
    </w:p>
    <w:p>
      <w:pPr>
        <w:pStyle w:val="49"/>
        <w:ind w:left="270" w:hanging="270" w:hangingChars="150"/>
        <w:rPr>
          <w:rFonts w:hint="eastAsia" w:ascii="方正楷体_GBK" w:eastAsia="方正楷体_GBK"/>
          <w:sz w:val="18"/>
          <w:szCs w:val="18"/>
        </w:rPr>
      </w:pPr>
      <w:r>
        <w:rPr>
          <w:rFonts w:hint="eastAsia" w:ascii="楷体" w:hAnsi="楷体" w:eastAsia="楷体" w:cs="楷体"/>
          <w:sz w:val="21"/>
          <w:szCs w:val="21"/>
        </w:rPr>
        <w:t xml:space="preserve">Zagaris, B. (2010). </w:t>
      </w:r>
      <w:r>
        <w:rPr>
          <w:rFonts w:hint="eastAsia" w:ascii="楷体" w:hAnsi="楷体" w:eastAsia="楷体" w:cs="楷体"/>
          <w:i/>
          <w:sz w:val="21"/>
          <w:szCs w:val="21"/>
        </w:rPr>
        <w:t>International white collar crime</w:t>
      </w:r>
      <w:r>
        <w:rPr>
          <w:rFonts w:hint="eastAsia" w:ascii="楷体" w:hAnsi="楷体" w:eastAsia="楷体" w:cs="楷体"/>
          <w:sz w:val="21"/>
          <w:szCs w:val="21"/>
        </w:rPr>
        <w:t>. New York, NY: Cambridge University Press.</w:t>
      </w:r>
    </w:p>
    <w:p>
      <w:pPr>
        <w:pStyle w:val="49"/>
        <w:rPr>
          <w:rFonts w:hint="eastAsia" w:ascii="黑体" w:hAnsi="黑体" w:eastAsia="黑体" w:cs="黑体"/>
          <w:sz w:val="24"/>
          <w:szCs w:val="24"/>
          <w:lang w:eastAsia="zh-CN"/>
        </w:rPr>
      </w:pPr>
    </w:p>
    <w:sectPr>
      <w:headerReference r:id="rId8" w:type="first"/>
      <w:footerReference r:id="rId11" w:type="first"/>
      <w:headerReference r:id="rId6" w:type="default"/>
      <w:footerReference r:id="rId9" w:type="default"/>
      <w:headerReference r:id="rId7" w:type="even"/>
      <w:footerReference r:id="rId10" w:type="even"/>
      <w:endnotePr>
        <w:numFmt w:val="decimalEnclosedCircleChinese"/>
      </w:endnotePr>
      <w:pgSz w:w="11906" w:h="16838"/>
      <w:pgMar w:top="2041" w:right="1588" w:bottom="1701" w:left="1588" w:header="1532"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endnote w:id="0">
    <w:p>
      <w:pPr>
        <w:pStyle w:val="49"/>
        <w:rPr>
          <w:rFonts w:hint="eastAsia" w:ascii="楷体" w:hAnsi="楷体" w:eastAsia="楷体" w:cs="楷体"/>
          <w:sz w:val="21"/>
          <w:szCs w:val="21"/>
        </w:rPr>
      </w:pPr>
      <w:r>
        <w:rPr>
          <w:rFonts w:hint="eastAsia" w:ascii="黑体" w:hAnsi="黑体" w:eastAsia="黑体" w:cs="黑体"/>
          <w:sz w:val="24"/>
          <w:szCs w:val="24"/>
          <w:lang w:eastAsia="zh-CN"/>
        </w:rPr>
        <w:t>注释：</w:t>
      </w:r>
    </w:p>
    <w:p>
      <w:pPr>
        <w:pStyle w:val="49"/>
        <w:rPr>
          <w:rFonts w:hint="eastAsia" w:ascii="楷体" w:hAnsi="楷体" w:eastAsia="楷体" w:cs="楷体"/>
          <w:sz w:val="21"/>
          <w:szCs w:val="21"/>
        </w:rPr>
      </w:pPr>
      <w:r>
        <w:rPr>
          <w:rFonts w:hint="eastAsia" w:ascii="楷体" w:hAnsi="楷体" w:eastAsia="楷体" w:cs="楷体"/>
          <w:sz w:val="21"/>
          <w:szCs w:val="21"/>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UNODC「2013年世界毒品報告」內容主要是針對會員國所做的的毒品調查資料，內容包括各</w:t>
      </w:r>
    </w:p>
    <w:p>
      <w:pPr>
        <w:pStyle w:val="49"/>
        <w:ind w:firstLine="420" w:firstLineChars="200"/>
        <w:rPr>
          <w:rFonts w:hint="eastAsia" w:ascii="楷体" w:hAnsi="楷体" w:eastAsia="楷体" w:cs="楷体"/>
          <w:sz w:val="21"/>
          <w:szCs w:val="21"/>
        </w:rPr>
      </w:pPr>
      <w:r>
        <w:rPr>
          <w:rFonts w:hint="eastAsia" w:ascii="楷体" w:hAnsi="楷体" w:eastAsia="楷体" w:cs="楷体"/>
          <w:sz w:val="21"/>
          <w:szCs w:val="21"/>
        </w:rPr>
        <w:t>類毒品的製造、販運、消費、抗制成效分析。由於資料蒐集與分析甚為耗時，2013年的報</w:t>
      </w:r>
    </w:p>
    <w:p>
      <w:pPr>
        <w:pStyle w:val="49"/>
        <w:ind w:firstLine="420" w:firstLineChars="200"/>
        <w:rPr>
          <w:rFonts w:hint="eastAsia" w:ascii="楷体" w:hAnsi="楷体" w:eastAsia="楷体" w:cs="楷体"/>
          <w:sz w:val="21"/>
          <w:szCs w:val="21"/>
        </w:rPr>
      </w:pPr>
      <w:r>
        <w:rPr>
          <w:rFonts w:hint="eastAsia" w:ascii="楷体" w:hAnsi="楷体" w:eastAsia="楷体" w:cs="楷体"/>
          <w:sz w:val="21"/>
          <w:szCs w:val="21"/>
        </w:rPr>
        <w:t>告中有完整的2011年資料分析，僅有少數的2012年資料</w:t>
      </w:r>
      <w:r>
        <w:rPr>
          <w:rFonts w:hint="eastAsia" w:ascii="楷体" w:hAnsi="楷体" w:eastAsia="楷体" w:cs="楷体"/>
          <w:sz w:val="21"/>
          <w:szCs w:val="21"/>
          <w:lang w:val="en-US" w:eastAsia="zh-CN"/>
        </w:rPr>
        <w:t>.</w:t>
      </w:r>
    </w:p>
  </w:endnote>
  <w:endnote w:id="1">
    <w:p>
      <w:pPr>
        <w:pStyle w:val="49"/>
        <w:rPr>
          <w:rFonts w:hint="eastAsia" w:ascii="楷体" w:hAnsi="楷体" w:eastAsia="楷体" w:cs="楷体"/>
          <w:sz w:val="21"/>
          <w:szCs w:val="21"/>
        </w:rPr>
      </w:pPr>
      <w:r>
        <w:rPr>
          <w:rFonts w:hint="eastAsia" w:ascii="楷体" w:hAnsi="楷体" w:eastAsia="楷体" w:cs="楷体"/>
          <w:sz w:val="21"/>
          <w:szCs w:val="21"/>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臺灣地區毒品危害防制條例第 32條之1：「為偵辦跨國性毒品犯罪，檢察官或刑事訴訟法第</w:t>
      </w:r>
    </w:p>
    <w:p>
      <w:pPr>
        <w:pStyle w:val="49"/>
        <w:ind w:firstLine="420" w:firstLineChars="200"/>
        <w:rPr>
          <w:rFonts w:hint="eastAsia" w:ascii="楷体" w:hAnsi="楷体" w:eastAsia="楷体" w:cs="楷体"/>
          <w:sz w:val="21"/>
          <w:szCs w:val="21"/>
        </w:rPr>
      </w:pPr>
      <w:r>
        <w:rPr>
          <w:rFonts w:hint="eastAsia" w:ascii="楷体" w:hAnsi="楷体" w:eastAsia="楷体" w:cs="楷体"/>
          <w:sz w:val="21"/>
          <w:szCs w:val="21"/>
        </w:rPr>
        <w:t>229條之司法检察官，得由其檢察長或其最上級機關首長向最高法院檢察署提出偵查計畫書，</w:t>
      </w:r>
    </w:p>
    <w:p>
      <w:pPr>
        <w:pStyle w:val="49"/>
        <w:ind w:firstLine="420" w:firstLineChars="200"/>
        <w:rPr>
          <w:rFonts w:hint="eastAsia" w:ascii="楷体" w:hAnsi="楷体" w:eastAsia="楷体" w:cs="楷体"/>
          <w:sz w:val="21"/>
          <w:szCs w:val="21"/>
        </w:rPr>
      </w:pPr>
      <w:r>
        <w:rPr>
          <w:rFonts w:hint="eastAsia" w:ascii="楷体" w:hAnsi="楷体" w:eastAsia="楷体" w:cs="楷体"/>
          <w:sz w:val="21"/>
          <w:szCs w:val="21"/>
        </w:rPr>
        <w:t>並檢附相關文件資料，經最高法院檢察署檢察總長核可後，核發偵查指揮書，由入、出境管</w:t>
      </w:r>
    </w:p>
    <w:p>
      <w:pPr>
        <w:pStyle w:val="49"/>
        <w:ind w:firstLine="420" w:firstLineChars="200"/>
        <w:rPr>
          <w:rFonts w:hint="eastAsia" w:ascii="楷体" w:hAnsi="楷体" w:eastAsia="楷体" w:cs="楷体"/>
          <w:sz w:val="21"/>
          <w:szCs w:val="21"/>
        </w:rPr>
      </w:pPr>
      <w:r>
        <w:rPr>
          <w:rFonts w:hint="eastAsia" w:ascii="楷体" w:hAnsi="楷体" w:eastAsia="楷体" w:cs="楷体"/>
          <w:sz w:val="21"/>
          <w:szCs w:val="21"/>
        </w:rPr>
        <w:t>制相關機關許可毒品及人員入、出境。」</w:t>
      </w:r>
    </w:p>
    <w:p>
      <w:pPr>
        <w:pStyle w:val="4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第32之2條：「前條之計畫書，應記載下列事項：</w:t>
      </w:r>
    </w:p>
    <w:p>
      <w:pPr>
        <w:pStyle w:val="4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一、犯罪嫌疑人或被告之年籍資料</w:t>
      </w:r>
      <w:r>
        <w:rPr>
          <w:rFonts w:hint="eastAsia" w:ascii="楷体" w:hAnsi="楷体" w:eastAsia="楷体" w:cs="楷体"/>
          <w:sz w:val="21"/>
          <w:szCs w:val="21"/>
          <w:lang w:val="en-US" w:eastAsia="zh-CN"/>
        </w:rPr>
        <w:t>.</w:t>
      </w:r>
    </w:p>
    <w:p>
      <w:pPr>
        <w:pStyle w:val="4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二、所犯罪名</w:t>
      </w:r>
      <w:r>
        <w:rPr>
          <w:rFonts w:hint="eastAsia" w:ascii="楷体" w:hAnsi="楷体" w:eastAsia="楷体" w:cs="楷体"/>
          <w:sz w:val="21"/>
          <w:szCs w:val="21"/>
          <w:lang w:val="en-US" w:eastAsia="zh-CN"/>
        </w:rPr>
        <w:t>.</w:t>
      </w:r>
    </w:p>
    <w:p>
      <w:pPr>
        <w:pStyle w:val="4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三、所涉犯罪事實</w:t>
      </w:r>
      <w:r>
        <w:rPr>
          <w:rFonts w:hint="eastAsia" w:ascii="楷体" w:hAnsi="楷体" w:eastAsia="楷体" w:cs="楷体"/>
          <w:sz w:val="21"/>
          <w:szCs w:val="21"/>
          <w:lang w:val="en-US" w:eastAsia="zh-CN"/>
        </w:rPr>
        <w:t>.</w:t>
      </w:r>
    </w:p>
    <w:p>
      <w:pPr>
        <w:pStyle w:val="4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四、使用控制下交付調查犯罪之必要性</w:t>
      </w:r>
      <w:r>
        <w:rPr>
          <w:rFonts w:hint="eastAsia" w:ascii="楷体" w:hAnsi="楷体" w:eastAsia="楷体" w:cs="楷体"/>
          <w:sz w:val="21"/>
          <w:szCs w:val="21"/>
          <w:lang w:val="en-US" w:eastAsia="zh-CN"/>
        </w:rPr>
        <w:t>.</w:t>
      </w:r>
    </w:p>
    <w:p>
      <w:pPr>
        <w:pStyle w:val="4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五、毒品數量及起迄處所</w:t>
      </w:r>
      <w:r>
        <w:rPr>
          <w:rFonts w:hint="eastAsia" w:ascii="楷体" w:hAnsi="楷体" w:eastAsia="楷体" w:cs="楷体"/>
          <w:sz w:val="21"/>
          <w:szCs w:val="21"/>
          <w:lang w:val="en-US" w:eastAsia="zh-CN"/>
        </w:rPr>
        <w:t>.</w:t>
      </w:r>
    </w:p>
    <w:p>
      <w:pPr>
        <w:pStyle w:val="4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六、毒品及犯罪嫌疑人入境航次、時間及方式</w:t>
      </w:r>
      <w:r>
        <w:rPr>
          <w:rFonts w:hint="eastAsia" w:ascii="楷体" w:hAnsi="楷体" w:eastAsia="楷体" w:cs="楷体"/>
          <w:sz w:val="21"/>
          <w:szCs w:val="21"/>
          <w:lang w:val="en-US" w:eastAsia="zh-CN"/>
        </w:rPr>
        <w:t>.</w:t>
      </w:r>
    </w:p>
    <w:p>
      <w:pPr>
        <w:pStyle w:val="4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七、毒品及犯罪嫌疑人入境後，防制毒品散逸及犯罪嫌疑人逃逸之監督作為</w:t>
      </w:r>
      <w:r>
        <w:rPr>
          <w:rFonts w:hint="eastAsia" w:ascii="楷体" w:hAnsi="楷体" w:eastAsia="楷体" w:cs="楷体"/>
          <w:sz w:val="21"/>
          <w:szCs w:val="21"/>
          <w:lang w:val="en-US" w:eastAsia="zh-CN"/>
        </w:rPr>
        <w:t>.</w:t>
      </w:r>
    </w:p>
    <w:p>
      <w:pPr>
        <w:pStyle w:val="4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八、偵查犯罪所需期間、方法及其他作為</w:t>
      </w:r>
      <w:r>
        <w:rPr>
          <w:rFonts w:hint="eastAsia" w:ascii="楷体" w:hAnsi="楷体" w:eastAsia="楷体" w:cs="楷体"/>
          <w:sz w:val="21"/>
          <w:szCs w:val="21"/>
          <w:lang w:val="en-US" w:eastAsia="zh-CN"/>
        </w:rPr>
        <w:t>.</w:t>
      </w:r>
    </w:p>
    <w:p>
      <w:pPr>
        <w:pStyle w:val="4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九、國際合作情形</w:t>
      </w:r>
      <w:r>
        <w:rPr>
          <w:rFonts w:hint="eastAsia" w:ascii="楷体" w:hAnsi="楷体" w:eastAsia="楷体" w:cs="楷体"/>
          <w:sz w:val="21"/>
          <w:szCs w:val="21"/>
          <w:lang w:val="en-US" w:eastAsia="zh-CN"/>
        </w:rPr>
        <w:t>.</w:t>
      </w:r>
    </w:p>
  </w:endnote>
  <w:endnote w:id="2">
    <w:p>
      <w:pPr>
        <w:pStyle w:val="49"/>
        <w:tabs>
          <w:tab w:val="left" w:pos="480"/>
        </w:tabs>
        <w:rPr>
          <w:rFonts w:hint="eastAsia" w:ascii="楷体" w:hAnsi="楷体" w:eastAsia="楷体" w:cs="楷体"/>
          <w:sz w:val="21"/>
          <w:szCs w:val="21"/>
        </w:rPr>
      </w:pPr>
      <w:r>
        <w:rPr>
          <w:rFonts w:hint="eastAsia" w:ascii="楷体" w:hAnsi="楷体" w:eastAsia="楷体" w:cs="楷体"/>
          <w:sz w:val="21"/>
          <w:szCs w:val="21"/>
        </w:rPr>
        <w:endnoteRef/>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例如臺灣地區關稅總局於2005年12月19日依台總局緝字第09410254711號令發布「海關</w:t>
      </w:r>
    </w:p>
    <w:p>
      <w:pPr>
        <w:pStyle w:val="49"/>
        <w:tabs>
          <w:tab w:val="left" w:pos="480"/>
        </w:tabs>
        <w:rPr>
          <w:rFonts w:ascii="方正楷体_GBK" w:eastAsia="方正楷体_GBK"/>
          <w:sz w:val="18"/>
          <w:szCs w:val="18"/>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執行毒品控制下交付作業要點」</w:t>
      </w:r>
      <w:r>
        <w:rPr>
          <w:rFonts w:hint="eastAsia" w:ascii="楷体" w:hAnsi="楷体" w:eastAsia="楷体" w:cs="楷体"/>
          <w:sz w:val="21"/>
          <w:szCs w:val="21"/>
          <w:lang w:val="en-US"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FKai-SB">
    <w:panose1 w:val="03000509000000000000"/>
    <w:charset w:val="88"/>
    <w:family w:val="auto"/>
    <w:pitch w:val="default"/>
    <w:sig w:usb0="00000003" w:usb1="082E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華康隸書體">
    <w:altName w:val="Microsoft JhengHei"/>
    <w:panose1 w:val="00000000000000000000"/>
    <w:charset w:val="88"/>
    <w:family w:val="auto"/>
    <w:pitch w:val="default"/>
    <w:sig w:usb0="00000000" w:usb1="08080000" w:usb2="00000010" w:usb3="00000000" w:csb0="00100000" w:csb1="00000000"/>
  </w:font>
  <w:font w:name="仿宋_GB2312">
    <w:altName w:val="仿宋"/>
    <w:panose1 w:val="0201060903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Calibri">
    <w:panose1 w:val="020F0502020204030204"/>
    <w:charset w:val="00"/>
    <w:family w:val="auto"/>
    <w:pitch w:val="default"/>
    <w:sig w:usb0="E00002FF" w:usb1="4000ACFF" w:usb2="00000001" w:usb3="00000000" w:csb0="2000019F" w:csb1="00000000"/>
  </w:font>
  <w:font w:name="Cordia New">
    <w:panose1 w:val="020B0304020202020204"/>
    <w:charset w:val="00"/>
    <w:family w:val="auto"/>
    <w:pitch w:val="default"/>
    <w:sig w:usb0="81000003" w:usb1="00000000" w:usb2="00000000" w:usb3="00000000" w:csb0="00010001" w:csb1="00000000"/>
  </w:font>
  <w:font w:name="Verdana">
    <w:panose1 w:val="020B0604030504040204"/>
    <w:charset w:val="00"/>
    <w:family w:val="auto"/>
    <w:pitch w:val="default"/>
    <w:sig w:usb0="A10006FF" w:usb1="4000205B" w:usb2="00000010" w:usb3="00000000" w:csb0="2000019F" w:csb1="00000000"/>
  </w:font>
  <w:font w:name="s?">
    <w:altName w:val="MS Mincho"/>
    <w:panose1 w:val="00000000000000000000"/>
    <w:charset w:val="00"/>
    <w:family w:val="auto"/>
    <w:pitch w:val="default"/>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ind w:firstLine="420"/>
      <w:jc w:val="right"/>
    </w:pPr>
    <w:r>
      <w:rPr>
        <w:rFonts w:hint="eastAsia"/>
        <w:sz w:val="21"/>
        <w:szCs w:val="21"/>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rFonts w:hint="eastAsia"/>
        <w:sz w:val="21"/>
        <w:szCs w:val="21"/>
      </w:rPr>
      <w:t>·</w:t>
    </w:r>
  </w:p>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ind w:firstLine="0" w:firstLineChars="0"/>
      <w:rPr>
        <w:sz w:val="24"/>
        <w:szCs w:val="24"/>
      </w:rPr>
    </w:pPr>
    <w:r>
      <w:rPr>
        <w:rFonts w:hint="eastAsia"/>
        <w:sz w:val="21"/>
        <w:szCs w:val="21"/>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r>
      <w:rPr>
        <w:rFonts w:hint="eastAsia"/>
        <w:sz w:val="21"/>
        <w:szCs w:val="21"/>
      </w:rPr>
      <w:t>·</w:t>
    </w:r>
  </w:p>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29"/>
        <w:ind w:left="0" w:leftChars="0" w:firstLine="0" w:firstLineChars="0"/>
        <w:jc w:val="both"/>
        <w:rPr>
          <w:rFonts w:ascii="方正楷体_GBK" w:hAnsi="楷体" w:eastAsia="方正楷体_GBK"/>
        </w:rPr>
      </w:pPr>
      <w:r>
        <w:rPr>
          <w:rFonts w:hint="eastAsia" w:ascii="黑体" w:hAnsi="黑体" w:eastAsia="黑体" w:cs="黑体"/>
          <w:sz w:val="21"/>
          <w:szCs w:val="21"/>
          <w:lang w:eastAsia="zh-CN"/>
        </w:rPr>
        <w:t>作者简介：</w:t>
      </w:r>
      <w:r>
        <w:rPr>
          <w:rFonts w:hint="eastAsia" w:ascii="楷体" w:hAnsi="楷体" w:eastAsia="楷体" w:cs="楷体"/>
          <w:sz w:val="21"/>
          <w:szCs w:val="21"/>
        </w:rPr>
        <w:t>孟維德</w:t>
      </w:r>
      <w:r>
        <w:rPr>
          <w:rFonts w:hint="eastAsia" w:ascii="楷体" w:hAnsi="楷体" w:eastAsia="楷体" w:cs="楷体"/>
          <w:sz w:val="21"/>
          <w:szCs w:val="21"/>
          <w:lang w:eastAsia="zh-CN"/>
        </w:rPr>
        <w:t>，</w:t>
      </w:r>
      <w:r>
        <w:rPr>
          <w:rFonts w:hint="eastAsia" w:ascii="楷体" w:hAnsi="楷体" w:eastAsia="楷体" w:cs="楷体"/>
          <w:sz w:val="21"/>
          <w:szCs w:val="21"/>
        </w:rPr>
        <w:t>中央警察大學外事警察學系（所），教授兼系主任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5"/>
      <w:ind w:firstLine="360"/>
      <w:jc w:val="right"/>
    </w:pPr>
    <w:r>
      <w:rPr>
        <w:rFonts w:hint="eastAsia" w:ascii="仿宋" w:hAnsi="仿宋" w:eastAsia="仿宋"/>
      </w:rPr>
      <w:t>跨境毒品販運分析與打擊對策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5"/>
      <w:ind w:firstLine="0" w:firstLineChars="0"/>
      <w:jc w:val="left"/>
      <w:rPr>
        <w:rFonts w:ascii="仿宋" w:hAnsi="仿宋" w:eastAsia="仿宋"/>
      </w:rPr>
    </w:pPr>
    <w:r>
      <w:rPr>
        <w:rFonts w:hint="eastAsia" w:ascii="仿宋" w:hAnsi="仿宋" w:eastAsia="仿宋"/>
      </w:rPr>
      <w:t>第九届海峡两岸暨香港、澳门警学研讨会论文集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1212223">
    <w:nsid w:val="20423E3F"/>
    <w:multiLevelType w:val="multilevel"/>
    <w:tmpl w:val="20423E3F"/>
    <w:lvl w:ilvl="0" w:tentative="1">
      <w:start w:val="1"/>
      <w:numFmt w:val="decimal"/>
      <w:lvlText w:val="%1."/>
      <w:lvlJc w:val="left"/>
      <w:pPr>
        <w:tabs>
          <w:tab w:val="left" w:pos="480"/>
        </w:tabs>
        <w:ind w:left="480" w:hanging="480"/>
      </w:pPr>
      <w:rPr>
        <w:rFonts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1098332423">
    <w:nsid w:val="41773907"/>
    <w:multiLevelType w:val="multilevel"/>
    <w:tmpl w:val="41773907"/>
    <w:lvl w:ilvl="0" w:tentative="1">
      <w:start w:val="1"/>
      <w:numFmt w:val="decimal"/>
      <w:lvlText w:val="%1."/>
      <w:lvlJc w:val="left"/>
      <w:pPr>
        <w:tabs>
          <w:tab w:val="left" w:pos="360"/>
        </w:tabs>
        <w:ind w:left="360" w:hanging="360"/>
      </w:pPr>
      <w:rPr>
        <w:rFonts w:hint="default"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858547756">
    <w:nsid w:val="332C662C"/>
    <w:multiLevelType w:val="multilevel"/>
    <w:tmpl w:val="332C662C"/>
    <w:lvl w:ilvl="0" w:tentative="1">
      <w:start w:val="1"/>
      <w:numFmt w:val="decimal"/>
      <w:lvlText w:val="%1."/>
      <w:lvlJc w:val="left"/>
      <w:pPr>
        <w:tabs>
          <w:tab w:val="left" w:pos="360"/>
        </w:tabs>
        <w:ind w:left="360" w:hanging="360"/>
      </w:pPr>
      <w:rPr>
        <w:rFonts w:hint="default"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1163085233">
    <w:nsid w:val="455345B1"/>
    <w:multiLevelType w:val="multilevel"/>
    <w:tmpl w:val="455345B1"/>
    <w:lvl w:ilvl="0" w:tentative="1">
      <w:start w:val="1"/>
      <w:numFmt w:val="decimal"/>
      <w:lvlText w:val="%1."/>
      <w:lvlJc w:val="left"/>
      <w:pPr>
        <w:tabs>
          <w:tab w:val="left" w:pos="360"/>
        </w:tabs>
        <w:ind w:left="360" w:hanging="360"/>
      </w:pPr>
      <w:rPr>
        <w:rFonts w:hint="default"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631332056">
    <w:nsid w:val="25A15CD8"/>
    <w:multiLevelType w:val="multilevel"/>
    <w:tmpl w:val="25A15CD8"/>
    <w:lvl w:ilvl="0" w:tentative="1">
      <w:start w:val="1"/>
      <w:numFmt w:val="decimal"/>
      <w:lvlText w:val="%1."/>
      <w:lvlJc w:val="left"/>
      <w:pPr>
        <w:tabs>
          <w:tab w:val="left" w:pos="360"/>
        </w:tabs>
        <w:ind w:left="360" w:hanging="360"/>
      </w:pPr>
      <w:rPr>
        <w:rFonts w:hint="default"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185947226">
    <w:nsid w:val="0B15545A"/>
    <w:multiLevelType w:val="multilevel"/>
    <w:tmpl w:val="0B15545A"/>
    <w:lvl w:ilvl="0" w:tentative="1">
      <w:start w:val="1"/>
      <w:numFmt w:val="decimal"/>
      <w:lvlText w:val="%1."/>
      <w:lvlJc w:val="left"/>
      <w:pPr>
        <w:tabs>
          <w:tab w:val="left" w:pos="480"/>
        </w:tabs>
        <w:ind w:left="480" w:hanging="480"/>
      </w:pPr>
      <w:rPr>
        <w:rFonts w:hint="default"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346371061">
    <w:nsid w:val="14A533F5"/>
    <w:multiLevelType w:val="multilevel"/>
    <w:tmpl w:val="14A533F5"/>
    <w:lvl w:ilvl="0" w:tentative="1">
      <w:start w:val="1"/>
      <w:numFmt w:val="decimalFullWidth"/>
      <w:pStyle w:val="10"/>
      <w:lvlText w:val="%1."/>
      <w:lvlJc w:val="left"/>
      <w:pPr>
        <w:tabs>
          <w:tab w:val="left" w:pos="360"/>
        </w:tabs>
        <w:ind w:left="360" w:hanging="360"/>
      </w:pPr>
      <w:rPr>
        <w:rFonts w:hint="eastAsia"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1747461799">
    <w:nsid w:val="682826A7"/>
    <w:multiLevelType w:val="multilevel"/>
    <w:tmpl w:val="682826A7"/>
    <w:lvl w:ilvl="0" w:tentative="1">
      <w:start w:val="1"/>
      <w:numFmt w:val="decimal"/>
      <w:lvlText w:val="%1."/>
      <w:lvlJc w:val="left"/>
      <w:pPr>
        <w:tabs>
          <w:tab w:val="left" w:pos="360"/>
        </w:tabs>
        <w:ind w:left="360" w:hanging="360"/>
      </w:pPr>
      <w:rPr>
        <w:rFonts w:hint="default" w:cs="Times New Roman"/>
      </w:rPr>
    </w:lvl>
    <w:lvl w:ilvl="1" w:tentative="1">
      <w:start w:val="1"/>
      <w:numFmt w:val="taiwaneseCountingThousand"/>
      <w:lvlText w:val="（%2）"/>
      <w:lvlJc w:val="left"/>
      <w:pPr>
        <w:tabs>
          <w:tab w:val="left" w:pos="1200"/>
        </w:tabs>
        <w:ind w:left="1200" w:hanging="720"/>
      </w:pPr>
      <w:rPr>
        <w:rFonts w:hint="default"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1315721067">
    <w:nsid w:val="4E6C4F6B"/>
    <w:multiLevelType w:val="multilevel"/>
    <w:tmpl w:val="4E6C4F6B"/>
    <w:lvl w:ilvl="0" w:tentative="1">
      <w:start w:val="1"/>
      <w:numFmt w:val="decimal"/>
      <w:lvlText w:val="%1."/>
      <w:lvlJc w:val="left"/>
      <w:pPr>
        <w:tabs>
          <w:tab w:val="left" w:pos="360"/>
        </w:tabs>
        <w:ind w:left="360" w:hanging="360"/>
      </w:pPr>
      <w:rPr>
        <w:rFonts w:hint="default"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1363630037">
    <w:nsid w:val="514757D5"/>
    <w:multiLevelType w:val="multilevel"/>
    <w:tmpl w:val="514757D5"/>
    <w:lvl w:ilvl="0" w:tentative="1">
      <w:start w:val="1"/>
      <w:numFmt w:val="decimal"/>
      <w:lvlText w:val="%1."/>
      <w:lvlJc w:val="left"/>
      <w:pPr>
        <w:tabs>
          <w:tab w:val="left" w:pos="360"/>
        </w:tabs>
        <w:ind w:left="360" w:hanging="360"/>
      </w:pPr>
      <w:rPr>
        <w:rFonts w:hint="default"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1263801220">
    <w:nsid w:val="4B541384"/>
    <w:multiLevelType w:val="multilevel"/>
    <w:tmpl w:val="4B541384"/>
    <w:lvl w:ilvl="0" w:tentative="1">
      <w:start w:val="1"/>
      <w:numFmt w:val="decimal"/>
      <w:lvlText w:val="%1."/>
      <w:lvlJc w:val="left"/>
      <w:pPr>
        <w:tabs>
          <w:tab w:val="left" w:pos="360"/>
        </w:tabs>
        <w:ind w:left="360" w:hanging="360"/>
      </w:pPr>
      <w:rPr>
        <w:rFonts w:hint="default"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1614437307">
    <w:nsid w:val="603A5BBB"/>
    <w:multiLevelType w:val="multilevel"/>
    <w:tmpl w:val="603A5BBB"/>
    <w:lvl w:ilvl="0" w:tentative="1">
      <w:start w:val="1"/>
      <w:numFmt w:val="decimal"/>
      <w:lvlText w:val="%1."/>
      <w:lvlJc w:val="left"/>
      <w:pPr>
        <w:tabs>
          <w:tab w:val="left" w:pos="360"/>
        </w:tabs>
        <w:ind w:left="360" w:hanging="360"/>
      </w:pPr>
      <w:rPr>
        <w:rFonts w:hint="default"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2025588837">
    <w:nsid w:val="78BC0865"/>
    <w:multiLevelType w:val="multilevel"/>
    <w:tmpl w:val="78BC0865"/>
    <w:lvl w:ilvl="0" w:tentative="1">
      <w:start w:val="1"/>
      <w:numFmt w:val="decimal"/>
      <w:lvlText w:val="%1."/>
      <w:lvlJc w:val="left"/>
      <w:pPr>
        <w:tabs>
          <w:tab w:val="left" w:pos="360"/>
        </w:tabs>
        <w:ind w:left="360" w:hanging="360"/>
      </w:pPr>
      <w:rPr>
        <w:rFonts w:hint="default" w:eastAsia="DFKai-SB"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num w:numId="1">
    <w:abstractNumId w:val="346371061"/>
  </w:num>
  <w:num w:numId="2">
    <w:abstractNumId w:val="1614437307"/>
  </w:num>
  <w:num w:numId="3">
    <w:abstractNumId w:val="2025588837"/>
  </w:num>
  <w:num w:numId="4">
    <w:abstractNumId w:val="1363630037"/>
  </w:num>
  <w:num w:numId="5">
    <w:abstractNumId w:val="1747461799"/>
  </w:num>
  <w:num w:numId="6">
    <w:abstractNumId w:val="1315721067"/>
  </w:num>
  <w:num w:numId="7">
    <w:abstractNumId w:val="1163085233"/>
  </w:num>
  <w:num w:numId="8">
    <w:abstractNumId w:val="858547756"/>
  </w:num>
  <w:num w:numId="9">
    <w:abstractNumId w:val="1263801220"/>
  </w:num>
  <w:num w:numId="10">
    <w:abstractNumId w:val="1098332423"/>
  </w:num>
  <w:num w:numId="11">
    <w:abstractNumId w:val="185947226"/>
  </w:num>
  <w:num w:numId="12">
    <w:abstractNumId w:val="631332056"/>
  </w:num>
  <w:num w:numId="13">
    <w:abstractNumId w:val="5412122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endnotePr>
    <w:pos w:val="sectEnd"/>
    <w:numFmt w:val="decimalEnclosedCircleChinese"/>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8230B"/>
    <w:rsid w:val="00001EB8"/>
    <w:rsid w:val="00007F0B"/>
    <w:rsid w:val="00031368"/>
    <w:rsid w:val="000463E7"/>
    <w:rsid w:val="00057364"/>
    <w:rsid w:val="00061408"/>
    <w:rsid w:val="00070545"/>
    <w:rsid w:val="0008031C"/>
    <w:rsid w:val="00082030"/>
    <w:rsid w:val="000C4BB2"/>
    <w:rsid w:val="000E5BA1"/>
    <w:rsid w:val="001408A2"/>
    <w:rsid w:val="001748EC"/>
    <w:rsid w:val="0018230B"/>
    <w:rsid w:val="001C0D54"/>
    <w:rsid w:val="001D20AC"/>
    <w:rsid w:val="001E378C"/>
    <w:rsid w:val="002045A1"/>
    <w:rsid w:val="00246072"/>
    <w:rsid w:val="00250102"/>
    <w:rsid w:val="00251602"/>
    <w:rsid w:val="00252AA2"/>
    <w:rsid w:val="00254EA4"/>
    <w:rsid w:val="00260E62"/>
    <w:rsid w:val="002D03FD"/>
    <w:rsid w:val="002E0196"/>
    <w:rsid w:val="002F4E21"/>
    <w:rsid w:val="00320D82"/>
    <w:rsid w:val="00321F0A"/>
    <w:rsid w:val="003268C8"/>
    <w:rsid w:val="00326C47"/>
    <w:rsid w:val="003359F3"/>
    <w:rsid w:val="00340222"/>
    <w:rsid w:val="00346E23"/>
    <w:rsid w:val="0035619B"/>
    <w:rsid w:val="00385860"/>
    <w:rsid w:val="003A4877"/>
    <w:rsid w:val="003B1855"/>
    <w:rsid w:val="003B7F39"/>
    <w:rsid w:val="003C0F8C"/>
    <w:rsid w:val="003C240C"/>
    <w:rsid w:val="003E11D1"/>
    <w:rsid w:val="003F73E2"/>
    <w:rsid w:val="00400F0E"/>
    <w:rsid w:val="00402DD0"/>
    <w:rsid w:val="00410BE1"/>
    <w:rsid w:val="00423876"/>
    <w:rsid w:val="004431A1"/>
    <w:rsid w:val="004447F1"/>
    <w:rsid w:val="00446E55"/>
    <w:rsid w:val="00477E43"/>
    <w:rsid w:val="004B159A"/>
    <w:rsid w:val="004E0972"/>
    <w:rsid w:val="00526E60"/>
    <w:rsid w:val="00545161"/>
    <w:rsid w:val="00545D7D"/>
    <w:rsid w:val="00557C3E"/>
    <w:rsid w:val="00562150"/>
    <w:rsid w:val="0056489B"/>
    <w:rsid w:val="00570359"/>
    <w:rsid w:val="005874DE"/>
    <w:rsid w:val="00597727"/>
    <w:rsid w:val="005A18FC"/>
    <w:rsid w:val="005D2A67"/>
    <w:rsid w:val="005F23D8"/>
    <w:rsid w:val="00606EE8"/>
    <w:rsid w:val="00607516"/>
    <w:rsid w:val="00612931"/>
    <w:rsid w:val="006162BF"/>
    <w:rsid w:val="006309BD"/>
    <w:rsid w:val="00646CDA"/>
    <w:rsid w:val="006727AC"/>
    <w:rsid w:val="00681A5D"/>
    <w:rsid w:val="006B5D8D"/>
    <w:rsid w:val="006C5670"/>
    <w:rsid w:val="006C5776"/>
    <w:rsid w:val="006E3412"/>
    <w:rsid w:val="006F45DB"/>
    <w:rsid w:val="00716FE5"/>
    <w:rsid w:val="00732554"/>
    <w:rsid w:val="00773221"/>
    <w:rsid w:val="00782B3E"/>
    <w:rsid w:val="007A43FB"/>
    <w:rsid w:val="007C39B1"/>
    <w:rsid w:val="007D2BE6"/>
    <w:rsid w:val="007D349F"/>
    <w:rsid w:val="00844751"/>
    <w:rsid w:val="008539AF"/>
    <w:rsid w:val="0085487B"/>
    <w:rsid w:val="008556AB"/>
    <w:rsid w:val="008579E9"/>
    <w:rsid w:val="008636A7"/>
    <w:rsid w:val="00873BDA"/>
    <w:rsid w:val="008B0F84"/>
    <w:rsid w:val="008C138D"/>
    <w:rsid w:val="008C1EF7"/>
    <w:rsid w:val="008D34F1"/>
    <w:rsid w:val="008E28A0"/>
    <w:rsid w:val="00913967"/>
    <w:rsid w:val="00973DD5"/>
    <w:rsid w:val="0097784D"/>
    <w:rsid w:val="00990EED"/>
    <w:rsid w:val="009A3858"/>
    <w:rsid w:val="009A3D9A"/>
    <w:rsid w:val="009B25C4"/>
    <w:rsid w:val="009B5A84"/>
    <w:rsid w:val="009B6F85"/>
    <w:rsid w:val="009C690C"/>
    <w:rsid w:val="009D3717"/>
    <w:rsid w:val="009E5251"/>
    <w:rsid w:val="009F5596"/>
    <w:rsid w:val="00A03927"/>
    <w:rsid w:val="00A20CA8"/>
    <w:rsid w:val="00A47809"/>
    <w:rsid w:val="00A84F3D"/>
    <w:rsid w:val="00AB2859"/>
    <w:rsid w:val="00AC0FE5"/>
    <w:rsid w:val="00AC407E"/>
    <w:rsid w:val="00AF128E"/>
    <w:rsid w:val="00B0390B"/>
    <w:rsid w:val="00B03C73"/>
    <w:rsid w:val="00B07A86"/>
    <w:rsid w:val="00B10AC4"/>
    <w:rsid w:val="00B557E1"/>
    <w:rsid w:val="00B67C61"/>
    <w:rsid w:val="00B8629B"/>
    <w:rsid w:val="00B92C4F"/>
    <w:rsid w:val="00BB0E98"/>
    <w:rsid w:val="00BC042B"/>
    <w:rsid w:val="00BD0D9C"/>
    <w:rsid w:val="00BD286A"/>
    <w:rsid w:val="00BF7300"/>
    <w:rsid w:val="00C13D18"/>
    <w:rsid w:val="00C20981"/>
    <w:rsid w:val="00C2256B"/>
    <w:rsid w:val="00C4455B"/>
    <w:rsid w:val="00C67480"/>
    <w:rsid w:val="00C7451A"/>
    <w:rsid w:val="00C975AA"/>
    <w:rsid w:val="00CB0042"/>
    <w:rsid w:val="00CB3E7C"/>
    <w:rsid w:val="00CC49FF"/>
    <w:rsid w:val="00CF094C"/>
    <w:rsid w:val="00CF14AA"/>
    <w:rsid w:val="00D51E51"/>
    <w:rsid w:val="00D53173"/>
    <w:rsid w:val="00D95637"/>
    <w:rsid w:val="00DA0EAD"/>
    <w:rsid w:val="00DE3B9C"/>
    <w:rsid w:val="00DF7F76"/>
    <w:rsid w:val="00E01D0F"/>
    <w:rsid w:val="00E0412D"/>
    <w:rsid w:val="00E23E7F"/>
    <w:rsid w:val="00E44A5B"/>
    <w:rsid w:val="00E471D1"/>
    <w:rsid w:val="00E72311"/>
    <w:rsid w:val="00E724E8"/>
    <w:rsid w:val="00E77173"/>
    <w:rsid w:val="00E80FC5"/>
    <w:rsid w:val="00E92C59"/>
    <w:rsid w:val="00EA6590"/>
    <w:rsid w:val="00EC10AB"/>
    <w:rsid w:val="00EE0562"/>
    <w:rsid w:val="00EE5588"/>
    <w:rsid w:val="00EF3CF7"/>
    <w:rsid w:val="00EF5ABA"/>
    <w:rsid w:val="00F007FC"/>
    <w:rsid w:val="00F07A5F"/>
    <w:rsid w:val="00F40BEF"/>
    <w:rsid w:val="00F64A2A"/>
    <w:rsid w:val="00F7072B"/>
    <w:rsid w:val="00F77E9B"/>
    <w:rsid w:val="00F926CA"/>
    <w:rsid w:val="00FA6284"/>
    <w:rsid w:val="00FA7B33"/>
    <w:rsid w:val="00FC4DB3"/>
    <w:rsid w:val="00FE1B4B"/>
    <w:rsid w:val="00FE469F"/>
    <w:rsid w:val="69360B0B"/>
    <w:rsid w:val="7C94388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3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semiHidden="0" w:name="footnote text"/>
    <w:lsdException w:unhideWhenUsed="0" w:uiPriority="0" w:name="annotation text"/>
    <w:lsdException w:uiPriority="0" w:semiHidden="0" w:name="header"/>
    <w:lsdException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semiHidden="0" w:name="footnote reference"/>
    <w:lsdException w:unhideWhenUsed="0" w:uiPriority="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0" w:semiHidden="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name="Document Map"/>
    <w:lsdException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6"/>
    <w:qFormat/>
    <w:uiPriority w:val="0"/>
    <w:pPr>
      <w:keepNext/>
      <w:keepLines/>
      <w:spacing w:line="560" w:lineRule="exact"/>
      <w:ind w:firstLine="0" w:firstLineChars="0"/>
      <w:jc w:val="center"/>
      <w:outlineLvl w:val="0"/>
    </w:pPr>
    <w:rPr>
      <w:rFonts w:eastAsia="方正小标宋_GBK"/>
      <w:bCs/>
      <w:kern w:val="44"/>
      <w:sz w:val="44"/>
      <w:szCs w:val="44"/>
    </w:rPr>
  </w:style>
  <w:style w:type="paragraph" w:styleId="3">
    <w:name w:val="heading 2"/>
    <w:basedOn w:val="1"/>
    <w:next w:val="1"/>
    <w:link w:val="77"/>
    <w:unhideWhenUsed/>
    <w:qFormat/>
    <w:uiPriority w:val="0"/>
    <w:pPr>
      <w:keepNext/>
      <w:keepLines/>
      <w:adjustRightInd w:val="0"/>
      <w:snapToGrid w:val="0"/>
      <w:spacing w:before="120" w:after="120" w:line="600" w:lineRule="exact"/>
      <w:ind w:firstLine="0" w:firstLineChars="0"/>
      <w:jc w:val="center"/>
      <w:outlineLvl w:val="1"/>
    </w:pPr>
    <w:rPr>
      <w:rFonts w:ascii="Cambria" w:hAnsi="Cambria" w:eastAsia="楷体" w:cs="黑体"/>
      <w:bCs/>
      <w:sz w:val="30"/>
      <w:szCs w:val="32"/>
    </w:rPr>
  </w:style>
  <w:style w:type="paragraph" w:styleId="4">
    <w:name w:val="heading 3"/>
    <w:basedOn w:val="1"/>
    <w:next w:val="1"/>
    <w:link w:val="79"/>
    <w:unhideWhenUsed/>
    <w:qFormat/>
    <w:uiPriority w:val="0"/>
    <w:pPr>
      <w:keepNext/>
      <w:keepLines/>
      <w:spacing w:before="120" w:after="120" w:line="416" w:lineRule="atLeast"/>
      <w:outlineLvl w:val="2"/>
    </w:pPr>
    <w:rPr>
      <w:rFonts w:eastAsia="黑体"/>
      <w:bCs/>
      <w:sz w:val="28"/>
      <w:szCs w:val="32"/>
    </w:rPr>
  </w:style>
  <w:style w:type="paragraph" w:styleId="5">
    <w:name w:val="heading 4"/>
    <w:basedOn w:val="1"/>
    <w:next w:val="1"/>
    <w:link w:val="100"/>
    <w:unhideWhenUsed/>
    <w:qFormat/>
    <w:uiPriority w:val="9"/>
    <w:pPr>
      <w:keepNext/>
      <w:keepLines/>
      <w:spacing w:line="376" w:lineRule="atLeast"/>
      <w:outlineLvl w:val="3"/>
    </w:pPr>
    <w:rPr>
      <w:rFonts w:ascii="Cambria" w:hAnsi="Cambria" w:eastAsia="黑体" w:cs="黑体"/>
      <w:bCs/>
      <w:szCs w:val="28"/>
    </w:rPr>
  </w:style>
  <w:style w:type="character" w:default="1" w:styleId="37">
    <w:name w:val="Default Paragraph Font"/>
    <w:unhideWhenUsed/>
    <w:uiPriority w:val="1"/>
  </w:style>
  <w:style w:type="table" w:default="1" w:styleId="46">
    <w:name w:val="Normal Table"/>
    <w:unhideWhenUsed/>
    <w:uiPriority w:val="99"/>
    <w:tblPr>
      <w:tblStyle w:val="46"/>
      <w:tblLayout w:type="fixed"/>
      <w:tblCellMar>
        <w:top w:w="0" w:type="dxa"/>
        <w:left w:w="108" w:type="dxa"/>
        <w:bottom w:w="0" w:type="dxa"/>
        <w:right w:w="108" w:type="dxa"/>
      </w:tblCellMar>
    </w:tblPr>
    <w:tcPr>
      <w:textDirection w:val="lrTb"/>
    </w:tcPr>
  </w:style>
  <w:style w:type="paragraph" w:styleId="6">
    <w:name w:val="annotation subject"/>
    <w:basedOn w:val="7"/>
    <w:next w:val="7"/>
    <w:link w:val="105"/>
    <w:semiHidden/>
    <w:uiPriority w:val="0"/>
    <w:rPr>
      <w:b/>
      <w:bCs/>
    </w:rPr>
  </w:style>
  <w:style w:type="paragraph" w:styleId="7">
    <w:name w:val="annotation text"/>
    <w:basedOn w:val="1"/>
    <w:link w:val="104"/>
    <w:semiHidden/>
    <w:uiPriority w:val="0"/>
    <w:pPr>
      <w:spacing w:line="240" w:lineRule="auto"/>
      <w:ind w:firstLine="0" w:firstLineChars="0"/>
      <w:jc w:val="left"/>
    </w:pPr>
    <w:rPr>
      <w:rFonts w:eastAsia="PMingLiU"/>
      <w:lang w:eastAsia="zh-TW"/>
    </w:rPr>
  </w:style>
  <w:style w:type="paragraph" w:styleId="8">
    <w:name w:val="toc 7"/>
    <w:basedOn w:val="1"/>
    <w:next w:val="1"/>
    <w:semiHidden/>
    <w:uiPriority w:val="0"/>
    <w:pPr>
      <w:spacing w:line="240" w:lineRule="auto"/>
      <w:ind w:left="1260" w:firstLine="0" w:firstLineChars="0"/>
      <w:jc w:val="left"/>
    </w:pPr>
    <w:rPr>
      <w:rFonts w:eastAsia="宋体"/>
      <w:sz w:val="18"/>
      <w:szCs w:val="18"/>
    </w:rPr>
  </w:style>
  <w:style w:type="paragraph" w:styleId="9">
    <w:name w:val="caption"/>
    <w:basedOn w:val="1"/>
    <w:next w:val="1"/>
    <w:qFormat/>
    <w:uiPriority w:val="0"/>
    <w:pPr>
      <w:adjustRightInd w:val="0"/>
      <w:spacing w:before="120" w:after="120" w:line="360" w:lineRule="atLeast"/>
      <w:ind w:firstLine="0" w:firstLineChars="0"/>
      <w:jc w:val="left"/>
      <w:textAlignment w:val="baseline"/>
    </w:pPr>
    <w:rPr>
      <w:rFonts w:eastAsia="華康隸書體"/>
      <w:kern w:val="0"/>
      <w:szCs w:val="20"/>
      <w:lang w:eastAsia="zh-TW"/>
    </w:rPr>
  </w:style>
  <w:style w:type="paragraph" w:styleId="10">
    <w:name w:val="List Bullet"/>
    <w:basedOn w:val="1"/>
    <w:uiPriority w:val="0"/>
    <w:pPr>
      <w:numPr>
        <w:ilvl w:val="0"/>
        <w:numId w:val="1"/>
      </w:numPr>
      <w:spacing w:line="240" w:lineRule="auto"/>
      <w:ind w:firstLine="0" w:firstLineChars="0"/>
      <w:jc w:val="left"/>
    </w:pPr>
    <w:rPr>
      <w:rFonts w:eastAsia="PMingLiU"/>
      <w:lang w:eastAsia="zh-TW"/>
    </w:rPr>
  </w:style>
  <w:style w:type="paragraph" w:styleId="11">
    <w:name w:val="Document Map"/>
    <w:basedOn w:val="1"/>
    <w:link w:val="89"/>
    <w:semiHidden/>
    <w:uiPriority w:val="99"/>
    <w:pPr>
      <w:shd w:val="clear" w:color="auto" w:fill="000080"/>
      <w:spacing w:line="240" w:lineRule="auto"/>
      <w:ind w:firstLine="0" w:firstLineChars="0"/>
    </w:pPr>
    <w:rPr>
      <w:rFonts w:eastAsia="宋体"/>
      <w:sz w:val="21"/>
      <w:szCs w:val="20"/>
    </w:rPr>
  </w:style>
  <w:style w:type="paragraph" w:styleId="12">
    <w:name w:val="Salutation"/>
    <w:basedOn w:val="1"/>
    <w:next w:val="1"/>
    <w:link w:val="107"/>
    <w:uiPriority w:val="0"/>
    <w:pPr>
      <w:spacing w:line="240" w:lineRule="auto"/>
      <w:ind w:firstLine="0" w:firstLineChars="0"/>
      <w:jc w:val="left"/>
    </w:pPr>
    <w:rPr>
      <w:rFonts w:eastAsia="PMingLiU"/>
      <w:lang w:eastAsia="zh-TW"/>
    </w:rPr>
  </w:style>
  <w:style w:type="paragraph" w:styleId="13">
    <w:name w:val="Closing"/>
    <w:basedOn w:val="1"/>
    <w:link w:val="108"/>
    <w:uiPriority w:val="0"/>
    <w:pPr>
      <w:spacing w:line="240" w:lineRule="auto"/>
      <w:ind w:left="100" w:leftChars="1800" w:firstLine="0" w:firstLineChars="0"/>
      <w:jc w:val="left"/>
    </w:pPr>
    <w:rPr>
      <w:rFonts w:eastAsia="PMingLiU"/>
      <w:lang w:eastAsia="zh-TW"/>
    </w:rPr>
  </w:style>
  <w:style w:type="paragraph" w:styleId="14">
    <w:name w:val="Body Text"/>
    <w:basedOn w:val="1"/>
    <w:link w:val="86"/>
    <w:uiPriority w:val="0"/>
    <w:pPr>
      <w:widowControl/>
      <w:spacing w:after="120" w:line="240" w:lineRule="auto"/>
      <w:ind w:firstLine="0" w:firstLineChars="0"/>
      <w:jc w:val="left"/>
    </w:pPr>
    <w:rPr>
      <w:rFonts w:eastAsia="宋体"/>
      <w:kern w:val="0"/>
      <w:lang w:eastAsia="en-US"/>
    </w:rPr>
  </w:style>
  <w:style w:type="paragraph" w:styleId="15">
    <w:name w:val="Body Text Indent"/>
    <w:basedOn w:val="1"/>
    <w:link w:val="87"/>
    <w:uiPriority w:val="0"/>
    <w:pPr>
      <w:spacing w:line="360" w:lineRule="auto"/>
      <w:ind w:right="631" w:firstLine="600" w:firstLineChars="250"/>
    </w:pPr>
    <w:rPr>
      <w:rFonts w:ascii="仿宋_GB2312" w:eastAsia="仿宋_GB2312"/>
      <w:szCs w:val="20"/>
    </w:rPr>
  </w:style>
  <w:style w:type="paragraph" w:styleId="16">
    <w:name w:val="Block Text"/>
    <w:basedOn w:val="1"/>
    <w:uiPriority w:val="0"/>
    <w:pPr>
      <w:spacing w:line="240" w:lineRule="auto"/>
      <w:ind w:left="600" w:right="631" w:firstLine="460" w:firstLineChars="0"/>
    </w:pPr>
    <w:rPr>
      <w:rFonts w:eastAsia="宋体"/>
      <w:szCs w:val="20"/>
    </w:rPr>
  </w:style>
  <w:style w:type="paragraph" w:styleId="17">
    <w:name w:val="toc 5"/>
    <w:basedOn w:val="1"/>
    <w:next w:val="1"/>
    <w:uiPriority w:val="39"/>
    <w:pPr>
      <w:spacing w:line="240" w:lineRule="auto"/>
      <w:ind w:left="840" w:firstLine="0" w:firstLineChars="0"/>
      <w:jc w:val="left"/>
    </w:pPr>
    <w:rPr>
      <w:rFonts w:eastAsia="宋体"/>
      <w:sz w:val="18"/>
      <w:szCs w:val="18"/>
    </w:rPr>
  </w:style>
  <w:style w:type="paragraph" w:styleId="18">
    <w:name w:val="toc 3"/>
    <w:basedOn w:val="1"/>
    <w:next w:val="1"/>
    <w:qFormat/>
    <w:uiPriority w:val="39"/>
    <w:pPr>
      <w:tabs>
        <w:tab w:val="right" w:leader="dot" w:pos="8720"/>
      </w:tabs>
      <w:spacing w:line="300" w:lineRule="exact"/>
      <w:ind w:firstLine="840" w:firstLineChars="400"/>
      <w:jc w:val="left"/>
    </w:pPr>
    <w:rPr>
      <w:rFonts w:eastAsia="宋体"/>
      <w:iCs/>
      <w:sz w:val="21"/>
      <w:szCs w:val="20"/>
    </w:rPr>
  </w:style>
  <w:style w:type="paragraph" w:styleId="19">
    <w:name w:val="Plain Text"/>
    <w:basedOn w:val="1"/>
    <w:link w:val="110"/>
    <w:uiPriority w:val="0"/>
    <w:pPr>
      <w:spacing w:line="240" w:lineRule="auto"/>
      <w:ind w:firstLine="0" w:firstLineChars="0"/>
      <w:jc w:val="left"/>
    </w:pPr>
    <w:rPr>
      <w:rFonts w:ascii="MingLiU" w:hAnsi="Courier New" w:eastAsia="MingLiU" w:cs="Courier New"/>
      <w:lang w:eastAsia="zh-TW"/>
    </w:rPr>
  </w:style>
  <w:style w:type="paragraph" w:styleId="20">
    <w:name w:val="toc 8"/>
    <w:basedOn w:val="1"/>
    <w:next w:val="1"/>
    <w:semiHidden/>
    <w:uiPriority w:val="0"/>
    <w:pPr>
      <w:spacing w:line="240" w:lineRule="auto"/>
      <w:ind w:left="1470" w:firstLine="0" w:firstLineChars="0"/>
      <w:jc w:val="left"/>
    </w:pPr>
    <w:rPr>
      <w:rFonts w:eastAsia="宋体"/>
      <w:sz w:val="18"/>
      <w:szCs w:val="18"/>
    </w:rPr>
  </w:style>
  <w:style w:type="paragraph" w:styleId="21">
    <w:name w:val="Body Text Indent 2"/>
    <w:basedOn w:val="1"/>
    <w:link w:val="93"/>
    <w:uiPriority w:val="0"/>
    <w:pPr>
      <w:spacing w:after="120" w:line="480" w:lineRule="auto"/>
      <w:ind w:left="420" w:leftChars="200" w:firstLine="0" w:firstLineChars="0"/>
    </w:pPr>
    <w:rPr>
      <w:rFonts w:eastAsia="宋体"/>
      <w:sz w:val="21"/>
      <w:szCs w:val="20"/>
    </w:rPr>
  </w:style>
  <w:style w:type="paragraph" w:styleId="22">
    <w:name w:val="endnote text"/>
    <w:basedOn w:val="1"/>
    <w:link w:val="83"/>
    <w:uiPriority w:val="0"/>
    <w:pPr>
      <w:snapToGrid w:val="0"/>
      <w:spacing w:line="440" w:lineRule="exact"/>
      <w:ind w:firstLine="196" w:firstLineChars="196"/>
      <w:jc w:val="left"/>
    </w:pPr>
    <w:rPr>
      <w:rFonts w:eastAsia="宋体"/>
      <w:sz w:val="21"/>
      <w:szCs w:val="21"/>
    </w:rPr>
  </w:style>
  <w:style w:type="paragraph" w:styleId="23">
    <w:name w:val="Balloon Text"/>
    <w:basedOn w:val="1"/>
    <w:link w:val="78"/>
    <w:unhideWhenUsed/>
    <w:uiPriority w:val="0"/>
    <w:pPr>
      <w:spacing w:line="240" w:lineRule="auto"/>
    </w:pPr>
    <w:rPr>
      <w:sz w:val="18"/>
      <w:szCs w:val="18"/>
    </w:rPr>
  </w:style>
  <w:style w:type="paragraph" w:styleId="24">
    <w:name w:val="footer"/>
    <w:basedOn w:val="1"/>
    <w:link w:val="75"/>
    <w:unhideWhenUsed/>
    <w:uiPriority w:val="0"/>
    <w:pPr>
      <w:tabs>
        <w:tab w:val="center" w:pos="4153"/>
        <w:tab w:val="right" w:pos="8306"/>
      </w:tabs>
      <w:snapToGrid w:val="0"/>
      <w:jc w:val="left"/>
    </w:pPr>
    <w:rPr>
      <w:sz w:val="18"/>
      <w:szCs w:val="18"/>
    </w:rPr>
  </w:style>
  <w:style w:type="paragraph" w:styleId="25">
    <w:name w:val="header"/>
    <w:basedOn w:val="1"/>
    <w:link w:val="74"/>
    <w:unhideWhenUsed/>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line="240" w:lineRule="auto"/>
      <w:ind w:firstLine="0" w:firstLineChars="0"/>
    </w:pPr>
    <w:rPr>
      <w:rFonts w:eastAsia="宋体"/>
      <w:b/>
      <w:bCs/>
      <w:caps/>
      <w:szCs w:val="20"/>
    </w:rPr>
  </w:style>
  <w:style w:type="paragraph" w:styleId="27">
    <w:name w:val="toc 4"/>
    <w:basedOn w:val="1"/>
    <w:next w:val="1"/>
    <w:uiPriority w:val="39"/>
    <w:pPr>
      <w:spacing w:line="240" w:lineRule="auto"/>
      <w:ind w:left="630" w:firstLine="0" w:firstLineChars="0"/>
      <w:jc w:val="left"/>
    </w:pPr>
    <w:rPr>
      <w:rFonts w:eastAsia="宋体"/>
      <w:sz w:val="18"/>
      <w:szCs w:val="18"/>
    </w:rPr>
  </w:style>
  <w:style w:type="paragraph" w:styleId="28">
    <w:name w:val="Subtitle"/>
    <w:basedOn w:val="1"/>
    <w:next w:val="1"/>
    <w:link w:val="98"/>
    <w:qFormat/>
    <w:uiPriority w:val="11"/>
    <w:pPr>
      <w:spacing w:before="240" w:after="60" w:line="312" w:lineRule="atLeast"/>
      <w:jc w:val="center"/>
      <w:outlineLvl w:val="1"/>
    </w:pPr>
    <w:rPr>
      <w:rFonts w:ascii="Cambria" w:hAnsi="Cambria" w:eastAsia="宋体" w:cs="黑体"/>
      <w:b/>
      <w:bCs/>
      <w:kern w:val="28"/>
      <w:sz w:val="32"/>
      <w:szCs w:val="32"/>
    </w:rPr>
  </w:style>
  <w:style w:type="paragraph" w:styleId="29">
    <w:name w:val="footnote text"/>
    <w:basedOn w:val="1"/>
    <w:link w:val="85"/>
    <w:unhideWhenUsed/>
    <w:uiPriority w:val="0"/>
    <w:pPr>
      <w:snapToGrid w:val="0"/>
      <w:jc w:val="left"/>
    </w:pPr>
    <w:rPr>
      <w:sz w:val="18"/>
      <w:szCs w:val="18"/>
    </w:rPr>
  </w:style>
  <w:style w:type="paragraph" w:styleId="30">
    <w:name w:val="toc 6"/>
    <w:basedOn w:val="1"/>
    <w:next w:val="1"/>
    <w:semiHidden/>
    <w:uiPriority w:val="0"/>
    <w:pPr>
      <w:spacing w:line="240" w:lineRule="auto"/>
      <w:ind w:left="1050" w:firstLine="0" w:firstLineChars="0"/>
      <w:jc w:val="left"/>
    </w:pPr>
    <w:rPr>
      <w:rFonts w:eastAsia="宋体"/>
      <w:sz w:val="18"/>
      <w:szCs w:val="18"/>
    </w:rPr>
  </w:style>
  <w:style w:type="paragraph" w:styleId="31">
    <w:name w:val="Body Text Indent 3"/>
    <w:basedOn w:val="1"/>
    <w:link w:val="111"/>
    <w:uiPriority w:val="0"/>
    <w:pPr>
      <w:spacing w:line="400" w:lineRule="exact"/>
      <w:ind w:left="912" w:leftChars="100" w:hanging="672" w:hangingChars="280"/>
    </w:pPr>
    <w:rPr>
      <w:rFonts w:eastAsia="DFKai-SB"/>
      <w:lang w:eastAsia="zh-TW"/>
    </w:rPr>
  </w:style>
  <w:style w:type="paragraph" w:styleId="32">
    <w:name w:val="toc 2"/>
    <w:basedOn w:val="1"/>
    <w:next w:val="1"/>
    <w:qFormat/>
    <w:uiPriority w:val="39"/>
    <w:pPr>
      <w:tabs>
        <w:tab w:val="right" w:leader="dot" w:pos="8720"/>
      </w:tabs>
      <w:spacing w:line="320" w:lineRule="exact"/>
      <w:ind w:left="420" w:leftChars="200" w:right="210" w:rightChars="100" w:firstLine="0" w:firstLineChars="0"/>
    </w:pPr>
    <w:rPr>
      <w:rFonts w:eastAsia="宋体"/>
      <w:smallCaps/>
      <w:sz w:val="21"/>
      <w:szCs w:val="20"/>
    </w:rPr>
  </w:style>
  <w:style w:type="paragraph" w:styleId="33">
    <w:name w:val="toc 9"/>
    <w:basedOn w:val="1"/>
    <w:next w:val="1"/>
    <w:semiHidden/>
    <w:uiPriority w:val="0"/>
    <w:pPr>
      <w:spacing w:line="240" w:lineRule="auto"/>
      <w:ind w:left="1680" w:firstLine="0" w:firstLineChars="0"/>
      <w:jc w:val="left"/>
    </w:pPr>
    <w:rPr>
      <w:rFonts w:eastAsia="宋体"/>
      <w:sz w:val="18"/>
      <w:szCs w:val="18"/>
    </w:rPr>
  </w:style>
  <w:style w:type="paragraph" w:styleId="34">
    <w:name w:val="Body Text 2"/>
    <w:basedOn w:val="1"/>
    <w:link w:val="109"/>
    <w:uiPriority w:val="0"/>
    <w:pPr>
      <w:adjustRightInd w:val="0"/>
      <w:spacing w:line="240" w:lineRule="auto"/>
      <w:ind w:firstLine="0" w:firstLineChars="0"/>
      <w:jc w:val="center"/>
      <w:textAlignment w:val="baseline"/>
    </w:pPr>
    <w:rPr>
      <w:rFonts w:eastAsia="PMingLiU"/>
      <w:kern w:val="0"/>
      <w:sz w:val="20"/>
      <w:szCs w:val="20"/>
      <w:lang w:eastAsia="zh-TW"/>
    </w:rPr>
  </w:style>
  <w:style w:type="paragraph" w:styleId="35">
    <w:name w:val="HTML Preformatted"/>
    <w:basedOn w:val="1"/>
    <w:link w:val="9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rPr>
  </w:style>
  <w:style w:type="paragraph" w:styleId="36">
    <w:name w:val="Normal (Web)"/>
    <w:basedOn w:val="1"/>
    <w:unhideWhenUsed/>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styleId="38">
    <w:name w:val="Strong"/>
    <w:qFormat/>
    <w:uiPriority w:val="0"/>
    <w:rPr>
      <w:b/>
      <w:bCs/>
    </w:rPr>
  </w:style>
  <w:style w:type="character" w:styleId="39">
    <w:name w:val="endnote reference"/>
    <w:basedOn w:val="37"/>
    <w:uiPriority w:val="0"/>
    <w:rPr>
      <w:vertAlign w:val="superscript"/>
    </w:rPr>
  </w:style>
  <w:style w:type="character" w:styleId="40">
    <w:name w:val="page number"/>
    <w:basedOn w:val="37"/>
    <w:uiPriority w:val="0"/>
    <w:rPr/>
  </w:style>
  <w:style w:type="character" w:styleId="41">
    <w:name w:val="FollowedHyperlink"/>
    <w:uiPriority w:val="0"/>
    <w:rPr>
      <w:color w:val="800080"/>
      <w:u w:val="single"/>
    </w:rPr>
  </w:style>
  <w:style w:type="character" w:styleId="42">
    <w:name w:val="Emphasis"/>
    <w:basedOn w:val="37"/>
    <w:qFormat/>
    <w:uiPriority w:val="0"/>
    <w:rPr>
      <w:i/>
    </w:rPr>
  </w:style>
  <w:style w:type="character" w:styleId="43">
    <w:name w:val="Hyperlink"/>
    <w:basedOn w:val="37"/>
    <w:unhideWhenUsed/>
    <w:uiPriority w:val="0"/>
    <w:rPr>
      <w:color w:val="0000FF"/>
      <w:u w:val="single"/>
    </w:rPr>
  </w:style>
  <w:style w:type="character" w:styleId="44">
    <w:name w:val="annotation reference"/>
    <w:semiHidden/>
    <w:uiPriority w:val="0"/>
    <w:rPr>
      <w:sz w:val="18"/>
      <w:szCs w:val="18"/>
    </w:rPr>
  </w:style>
  <w:style w:type="character" w:styleId="45">
    <w:name w:val="footnote reference"/>
    <w:basedOn w:val="37"/>
    <w:unhideWhenUsed/>
    <w:uiPriority w:val="0"/>
    <w:rPr>
      <w:vertAlign w:val="superscript"/>
    </w:rPr>
  </w:style>
  <w:style w:type="table" w:styleId="47">
    <w:name w:val="Table Grid"/>
    <w:basedOn w:val="46"/>
    <w:uiPriority w:val="0"/>
    <w:pPr/>
    <w:rPr>
      <w:rFonts w:ascii="Times New Roman" w:hAnsi="Times New Roman" w:eastAsia="宋体" w:cs="Times New Roman"/>
      <w:kern w:val="0"/>
      <w:sz w:val="20"/>
      <w:szCs w:val="20"/>
    </w:r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48">
    <w:name w:val="正文 New"/>
    <w:uiPriority w:val="0"/>
    <w:pPr>
      <w:widowControl w:val="0"/>
    </w:pPr>
    <w:rPr>
      <w:rFonts w:ascii="Times New Roman" w:hAnsi="Times New Roman" w:eastAsia="宋体" w:cs="Times New Roman"/>
      <w:kern w:val="0"/>
      <w:sz w:val="20"/>
      <w:szCs w:val="21"/>
      <w:lang w:val="en-US" w:eastAsia="zh-CN" w:bidi="ar-SA"/>
    </w:rPr>
  </w:style>
  <w:style w:type="paragraph" w:customStyle="1" w:styleId="49">
    <w:name w:val="英文内容"/>
    <w:basedOn w:val="1"/>
    <w:link w:val="80"/>
    <w:qFormat/>
    <w:uiPriority w:val="0"/>
    <w:pPr>
      <w:ind w:firstLine="0" w:firstLineChars="0"/>
    </w:pPr>
    <w:rPr>
      <w:rFonts w:eastAsia="Times New Roman"/>
    </w:rPr>
  </w:style>
  <w:style w:type="paragraph" w:customStyle="1" w:styleId="50">
    <w:name w:val="英文大标题"/>
    <w:basedOn w:val="49"/>
    <w:link w:val="81"/>
    <w:qFormat/>
    <w:uiPriority w:val="0"/>
    <w:pPr>
      <w:spacing w:line="600" w:lineRule="exact"/>
      <w:jc w:val="center"/>
    </w:pPr>
    <w:rPr>
      <w:b/>
      <w:sz w:val="42"/>
      <w:szCs w:val="44"/>
    </w:rPr>
  </w:style>
  <w:style w:type="paragraph" w:customStyle="1" w:styleId="51">
    <w:name w:val="英文小标题001"/>
    <w:basedOn w:val="1"/>
    <w:link w:val="82"/>
    <w:qFormat/>
    <w:uiPriority w:val="0"/>
    <w:pPr>
      <w:spacing w:before="240" w:after="240" w:line="400" w:lineRule="exact"/>
      <w:ind w:firstLine="0" w:firstLineChars="0"/>
      <w:jc w:val="left"/>
    </w:pPr>
    <w:rPr>
      <w:b/>
      <w:bCs/>
      <w:sz w:val="28"/>
      <w:szCs w:val="28"/>
    </w:rPr>
  </w:style>
  <w:style w:type="paragraph" w:customStyle="1" w:styleId="52">
    <w:name w:val="Char Char Char Char"/>
    <w:basedOn w:val="1"/>
    <w:uiPriority w:val="0"/>
    <w:pPr>
      <w:adjustRightInd w:val="0"/>
      <w:spacing w:line="360" w:lineRule="auto"/>
      <w:ind w:firstLine="0" w:firstLineChars="0"/>
    </w:pPr>
    <w:rPr>
      <w:rFonts w:ascii="仿宋_GB2312" w:eastAsia="仿宋_GB2312"/>
      <w:snapToGrid w:val="0"/>
      <w:kern w:val="0"/>
      <w:szCs w:val="20"/>
    </w:rPr>
  </w:style>
  <w:style w:type="paragraph" w:customStyle="1" w:styleId="53">
    <w:name w:val="Char Char1"/>
    <w:basedOn w:val="1"/>
    <w:uiPriority w:val="0"/>
    <w:pPr>
      <w:widowControl/>
      <w:spacing w:after="160" w:line="240" w:lineRule="exact"/>
      <w:ind w:firstLine="0" w:firstLineChars="0"/>
      <w:jc w:val="left"/>
    </w:pPr>
    <w:rPr>
      <w:rFonts w:eastAsia="仿宋_GB2312"/>
      <w:kern w:val="0"/>
      <w:sz w:val="32"/>
      <w:szCs w:val="20"/>
    </w:rPr>
  </w:style>
  <w:style w:type="paragraph" w:customStyle="1" w:styleId="54">
    <w:name w:val="defaul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55">
    <w:name w:val="样式 标题 3 + (西文) Times New Roman (中文) 黑体 四号"/>
    <w:basedOn w:val="3"/>
    <w:link w:val="92"/>
    <w:uiPriority w:val="0"/>
    <w:pPr>
      <w:topLinePunct w:val="1"/>
      <w:adjustRightInd/>
      <w:snapToGrid/>
      <w:spacing w:before="0" w:after="0" w:line="360" w:lineRule="auto"/>
    </w:pPr>
    <w:rPr>
      <w:rFonts w:ascii="Arial" w:hAnsi="Arial" w:eastAsia="黑体" w:cs="Times New Roman"/>
      <w:sz w:val="28"/>
    </w:rPr>
  </w:style>
  <w:style w:type="paragraph" w:customStyle="1" w:styleId="56">
    <w:name w:val="Char Char Char Char Char Char Char Char Char Char"/>
    <w:basedOn w:val="1"/>
    <w:next w:val="29"/>
    <w:uiPriority w:val="0"/>
    <w:pPr>
      <w:spacing w:line="360" w:lineRule="auto"/>
      <w:ind w:firstLine="0" w:firstLineChars="0"/>
    </w:pPr>
    <w:rPr>
      <w:rFonts w:ascii="Calibri" w:hAnsi="Calibri" w:eastAsia="宋体"/>
      <w:sz w:val="21"/>
      <w:szCs w:val="22"/>
    </w:rPr>
  </w:style>
  <w:style w:type="paragraph" w:customStyle="1" w:styleId="57">
    <w:name w:val="TOC Heading"/>
    <w:basedOn w:val="2"/>
    <w:next w:val="1"/>
    <w:qFormat/>
    <w:uiPriority w:val="39"/>
    <w:pPr>
      <w:widowControl/>
      <w:adjustRightInd w:val="0"/>
      <w:spacing w:before="480" w:line="276" w:lineRule="auto"/>
      <w:jc w:val="left"/>
      <w:outlineLvl w:val="9"/>
    </w:pPr>
    <w:rPr>
      <w:rFonts w:ascii="Cambria" w:hAnsi="Cambria" w:eastAsia="宋体"/>
      <w:b/>
      <w:color w:val="365F91"/>
      <w:kern w:val="0"/>
      <w:sz w:val="28"/>
      <w:szCs w:val="28"/>
    </w:rPr>
  </w:style>
  <w:style w:type="paragraph" w:customStyle="1" w:styleId="58">
    <w:name w:val="List Paragraph"/>
    <w:basedOn w:val="1"/>
    <w:qFormat/>
    <w:uiPriority w:val="34"/>
    <w:pPr>
      <w:spacing w:line="240" w:lineRule="auto"/>
      <w:ind w:firstLine="420"/>
    </w:pPr>
    <w:rPr>
      <w:rFonts w:ascii="Calibri" w:hAnsi="Calibri" w:eastAsia="宋体"/>
      <w:sz w:val="21"/>
      <w:szCs w:val="22"/>
    </w:rPr>
  </w:style>
  <w:style w:type="paragraph" w:customStyle="1" w:styleId="59">
    <w:name w:val="Revision"/>
    <w:hidden/>
    <w:semiHidden/>
    <w:uiPriority w:val="99"/>
    <w:rPr>
      <w:rFonts w:ascii="Times New Roman" w:hAnsi="Times New Roman" w:eastAsia="宋体" w:cs="Times New Roman"/>
      <w:kern w:val="2"/>
      <w:sz w:val="21"/>
      <w:szCs w:val="20"/>
      <w:lang w:val="en-US" w:eastAsia="zh-CN" w:bidi="ar-SA"/>
    </w:rPr>
  </w:style>
  <w:style w:type="paragraph" w:customStyle="1" w:styleId="60">
    <w:name w:val="p0"/>
    <w:basedOn w:val="1"/>
    <w:uiPriority w:val="0"/>
    <w:pPr>
      <w:widowControl/>
      <w:spacing w:line="240" w:lineRule="auto"/>
      <w:ind w:firstLine="0" w:firstLineChars="0"/>
    </w:pPr>
    <w:rPr>
      <w:rFonts w:eastAsia="宋体"/>
      <w:kern w:val="0"/>
      <w:sz w:val="21"/>
      <w:szCs w:val="21"/>
    </w:rPr>
  </w:style>
  <w:style w:type="paragraph" w:customStyle="1" w:styleId="61">
    <w:name w:val="ordinary-outpu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62">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63">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4">
    <w:name w:val="รายการย่อหน้า"/>
    <w:basedOn w:val="1"/>
    <w:qFormat/>
    <w:uiPriority w:val="34"/>
    <w:pPr>
      <w:widowControl/>
      <w:spacing w:line="240" w:lineRule="auto"/>
      <w:ind w:left="720" w:firstLine="0" w:firstLineChars="0"/>
      <w:contextualSpacing/>
      <w:jc w:val="left"/>
    </w:pPr>
    <w:rPr>
      <w:rFonts w:ascii="Cordia New" w:hAnsi="Cordia New" w:eastAsia="PMingLiU" w:cs="Cordia New"/>
      <w:kern w:val="0"/>
      <w:sz w:val="32"/>
      <w:szCs w:val="40"/>
    </w:rPr>
  </w:style>
  <w:style w:type="paragraph" w:customStyle="1" w:styleId="65">
    <w:name w:val="Char Char Char"/>
    <w:basedOn w:val="1"/>
    <w:uiPriority w:val="0"/>
    <w:pPr>
      <w:tabs>
        <w:tab w:val="left" w:pos="360"/>
      </w:tabs>
      <w:spacing w:line="240" w:lineRule="auto"/>
      <w:ind w:firstLine="0" w:firstLineChars="0"/>
    </w:pPr>
    <w:rPr>
      <w:rFonts w:eastAsia="宋体"/>
    </w:rPr>
  </w:style>
  <w:style w:type="paragraph" w:customStyle="1" w:styleId="66">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 New"/>
    <w:link w:val="101"/>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9">
    <w:name w:val="Char Char Char Char Char Char1 Char Char Char Char Char Char Char Char Char Char Char Char Char"/>
    <w:basedOn w:val="1"/>
    <w:uiPriority w:val="0"/>
    <w:pPr>
      <w:tabs>
        <w:tab w:val="left" w:pos="360"/>
      </w:tabs>
      <w:spacing w:line="240" w:lineRule="auto"/>
      <w:ind w:firstLine="0" w:firstLineChars="0"/>
    </w:pPr>
    <w:rPr>
      <w:rFonts w:eastAsia="宋体"/>
    </w:rPr>
  </w:style>
  <w:style w:type="paragraph" w:customStyle="1" w:styleId="70">
    <w:name w:val="清單段落"/>
    <w:basedOn w:val="1"/>
    <w:qFormat/>
    <w:uiPriority w:val="99"/>
    <w:pPr>
      <w:spacing w:line="240" w:lineRule="auto"/>
      <w:ind w:left="480" w:leftChars="200" w:firstLine="0" w:firstLineChars="0"/>
      <w:jc w:val="left"/>
    </w:pPr>
    <w:rPr>
      <w:rFonts w:ascii="Calibri" w:hAnsi="Calibri" w:eastAsia="PMingLiU"/>
      <w:szCs w:val="22"/>
      <w:lang w:eastAsia="zh-TW"/>
    </w:rPr>
  </w:style>
  <w:style w:type="paragraph" w:customStyle="1" w:styleId="71">
    <w:name w:val="內文1"/>
    <w:uiPriority w:val="0"/>
    <w:pPr>
      <w:widowControl w:val="0"/>
      <w:adjustRightInd w:val="0"/>
      <w:spacing w:line="360" w:lineRule="atLeast"/>
      <w:textAlignment w:val="baseline"/>
    </w:pPr>
    <w:rPr>
      <w:rFonts w:ascii="MingLiU" w:hAnsi="Times New Roman" w:eastAsia="MingLiU" w:cs="Times New Roman"/>
      <w:kern w:val="0"/>
      <w:sz w:val="23"/>
      <w:szCs w:val="20"/>
      <w:lang w:val="en-US" w:eastAsia="zh-TW" w:bidi="ar-SA"/>
    </w:rPr>
  </w:style>
  <w:style w:type="paragraph" w:customStyle="1" w:styleId="72">
    <w:name w:val="本文縮排 21"/>
    <w:basedOn w:val="1"/>
    <w:uiPriority w:val="0"/>
    <w:pPr>
      <w:adjustRightInd w:val="0"/>
      <w:spacing w:before="240" w:line="360" w:lineRule="atLeast"/>
      <w:ind w:left="512" w:hanging="180" w:firstLineChars="0"/>
      <w:jc w:val="left"/>
      <w:textAlignment w:val="baseline"/>
    </w:pPr>
    <w:rPr>
      <w:rFonts w:ascii="DFKai-SB" w:eastAsia="DFKai-SB"/>
      <w:kern w:val="0"/>
      <w:szCs w:val="20"/>
      <w:lang w:eastAsia="zh-TW"/>
    </w:rPr>
  </w:style>
  <w:style w:type="paragraph" w:customStyle="1" w:styleId="73">
    <w:name w:val="字元 字元 字元"/>
    <w:basedOn w:val="1"/>
    <w:uiPriority w:val="0"/>
    <w:pPr>
      <w:widowControl/>
      <w:spacing w:after="160" w:line="240" w:lineRule="exact"/>
      <w:ind w:firstLine="0" w:firstLineChars="0"/>
      <w:jc w:val="left"/>
    </w:pPr>
    <w:rPr>
      <w:rFonts w:ascii="Verdana" w:hAnsi="Verdana" w:eastAsia="PMingLiU"/>
      <w:kern w:val="0"/>
      <w:sz w:val="20"/>
      <w:szCs w:val="20"/>
      <w:lang w:eastAsia="en-US"/>
    </w:rPr>
  </w:style>
  <w:style w:type="character" w:customStyle="1" w:styleId="74">
    <w:name w:val="页眉 Char"/>
    <w:basedOn w:val="37"/>
    <w:link w:val="25"/>
    <w:uiPriority w:val="0"/>
    <w:rPr>
      <w:sz w:val="18"/>
      <w:szCs w:val="18"/>
    </w:rPr>
  </w:style>
  <w:style w:type="character" w:customStyle="1" w:styleId="75">
    <w:name w:val="页脚 Char"/>
    <w:basedOn w:val="37"/>
    <w:link w:val="24"/>
    <w:uiPriority w:val="0"/>
    <w:rPr>
      <w:sz w:val="18"/>
      <w:szCs w:val="18"/>
    </w:rPr>
  </w:style>
  <w:style w:type="character" w:customStyle="1" w:styleId="76">
    <w:name w:val="标题 1 Char"/>
    <w:aliases w:val="标题 1（名字） Char"/>
    <w:basedOn w:val="37"/>
    <w:link w:val="2"/>
    <w:uiPriority w:val="0"/>
    <w:rPr>
      <w:rFonts w:ascii="Times New Roman" w:hAnsi="Times New Roman" w:eastAsia="方正小标宋_GBK" w:cs="Times New Roman"/>
      <w:bCs/>
      <w:kern w:val="44"/>
      <w:sz w:val="44"/>
      <w:szCs w:val="44"/>
    </w:rPr>
  </w:style>
  <w:style w:type="character" w:customStyle="1" w:styleId="77">
    <w:name w:val="标题 2 Char"/>
    <w:aliases w:val="标题 2（作者） Char"/>
    <w:basedOn w:val="37"/>
    <w:link w:val="3"/>
    <w:uiPriority w:val="0"/>
    <w:rPr>
      <w:rFonts w:ascii="Cambria" w:hAnsi="Cambria" w:eastAsia="楷体" w:cs="黑体"/>
      <w:bCs/>
      <w:sz w:val="30"/>
      <w:szCs w:val="32"/>
    </w:rPr>
  </w:style>
  <w:style w:type="character" w:customStyle="1" w:styleId="78">
    <w:name w:val="批注框文本 Char"/>
    <w:basedOn w:val="37"/>
    <w:link w:val="23"/>
    <w:semiHidden/>
    <w:uiPriority w:val="99"/>
    <w:rPr>
      <w:rFonts w:ascii="Times New Roman" w:hAnsi="Times New Roman" w:cs="Times New Roman"/>
      <w:sz w:val="18"/>
      <w:szCs w:val="18"/>
    </w:rPr>
  </w:style>
  <w:style w:type="character" w:customStyle="1" w:styleId="79">
    <w:name w:val="标题 3 Char"/>
    <w:basedOn w:val="37"/>
    <w:link w:val="4"/>
    <w:uiPriority w:val="0"/>
    <w:rPr>
      <w:rFonts w:ascii="Times New Roman" w:hAnsi="Times New Roman" w:eastAsia="黑体" w:cs="Times New Roman"/>
      <w:bCs/>
      <w:sz w:val="28"/>
      <w:szCs w:val="32"/>
    </w:rPr>
  </w:style>
  <w:style w:type="character" w:customStyle="1" w:styleId="80">
    <w:name w:val="英文内容 Char"/>
    <w:basedOn w:val="37"/>
    <w:link w:val="49"/>
    <w:uiPriority w:val="0"/>
    <w:rPr>
      <w:rFonts w:ascii="Times New Roman" w:hAnsi="Times New Roman" w:eastAsia="Times New Roman" w:cs="Times New Roman"/>
      <w:sz w:val="24"/>
      <w:szCs w:val="24"/>
    </w:rPr>
  </w:style>
  <w:style w:type="character" w:customStyle="1" w:styleId="81">
    <w:name w:val="英文大标题 Char"/>
    <w:basedOn w:val="80"/>
    <w:link w:val="50"/>
    <w:uiPriority w:val="0"/>
    <w:rPr>
      <w:rFonts w:ascii="Times New Roman" w:hAnsi="Times New Roman" w:eastAsia="Times New Roman" w:cs="Times New Roman"/>
      <w:b/>
      <w:sz w:val="42"/>
      <w:szCs w:val="44"/>
    </w:rPr>
  </w:style>
  <w:style w:type="character" w:customStyle="1" w:styleId="82">
    <w:name w:val="英文小标题001 Char"/>
    <w:basedOn w:val="37"/>
    <w:link w:val="51"/>
    <w:uiPriority w:val="0"/>
    <w:rPr>
      <w:rFonts w:ascii="Times New Roman" w:hAnsi="Times New Roman" w:cs="Times New Roman"/>
      <w:b/>
      <w:bCs/>
      <w:sz w:val="28"/>
      <w:szCs w:val="28"/>
    </w:rPr>
  </w:style>
  <w:style w:type="character" w:customStyle="1" w:styleId="83">
    <w:name w:val="尾注文本 Char"/>
    <w:basedOn w:val="37"/>
    <w:link w:val="22"/>
    <w:uiPriority w:val="0"/>
    <w:rPr>
      <w:rFonts w:ascii="Times New Roman" w:hAnsi="Times New Roman" w:eastAsia="宋体" w:cs="Times New Roman"/>
      <w:szCs w:val="21"/>
    </w:rPr>
  </w:style>
  <w:style w:type="character" w:customStyle="1" w:styleId="84">
    <w:name w:val="尾注文本 Char1"/>
    <w:basedOn w:val="37"/>
    <w:semiHidden/>
    <w:uiPriority w:val="99"/>
    <w:rPr>
      <w:rFonts w:ascii="Times New Roman" w:hAnsi="Times New Roman" w:cs="Times New Roman"/>
      <w:sz w:val="24"/>
      <w:szCs w:val="24"/>
    </w:rPr>
  </w:style>
  <w:style w:type="character" w:customStyle="1" w:styleId="85">
    <w:name w:val="脚注文本 Char"/>
    <w:basedOn w:val="37"/>
    <w:link w:val="29"/>
    <w:uiPriority w:val="0"/>
    <w:rPr>
      <w:rFonts w:ascii="Times New Roman" w:hAnsi="Times New Roman" w:cs="Times New Roman"/>
      <w:sz w:val="18"/>
      <w:szCs w:val="18"/>
    </w:rPr>
  </w:style>
  <w:style w:type="character" w:customStyle="1" w:styleId="86">
    <w:name w:val="正文文本 Char"/>
    <w:basedOn w:val="37"/>
    <w:link w:val="14"/>
    <w:uiPriority w:val="0"/>
    <w:rPr>
      <w:rFonts w:ascii="Times New Roman" w:hAnsi="Times New Roman" w:eastAsia="宋体" w:cs="Times New Roman"/>
      <w:kern w:val="0"/>
      <w:sz w:val="24"/>
      <w:szCs w:val="24"/>
      <w:lang w:eastAsia="en-US"/>
    </w:rPr>
  </w:style>
  <w:style w:type="character" w:customStyle="1" w:styleId="87">
    <w:name w:val="正文文本缩进 Char"/>
    <w:basedOn w:val="37"/>
    <w:link w:val="15"/>
    <w:uiPriority w:val="0"/>
    <w:rPr>
      <w:rFonts w:ascii="仿宋_GB2312" w:hAnsi="Times New Roman" w:eastAsia="仿宋_GB2312" w:cs="Times New Roman"/>
      <w:sz w:val="24"/>
      <w:szCs w:val="20"/>
    </w:rPr>
  </w:style>
  <w:style w:type="character" w:customStyle="1" w:styleId="88">
    <w:name w:val="txt"/>
    <w:basedOn w:val="37"/>
    <w:uiPriority w:val="0"/>
    <w:rPr/>
  </w:style>
  <w:style w:type="character" w:customStyle="1" w:styleId="89">
    <w:name w:val="文档结构图 Char"/>
    <w:basedOn w:val="37"/>
    <w:link w:val="11"/>
    <w:semiHidden/>
    <w:uiPriority w:val="99"/>
    <w:rPr>
      <w:rFonts w:ascii="Times New Roman" w:hAnsi="Times New Roman" w:eastAsia="宋体" w:cs="Times New Roman"/>
      <w:szCs w:val="20"/>
      <w:shd w:val="clear" w:color="auto" w:fill="000080"/>
    </w:rPr>
  </w:style>
  <w:style w:type="character" w:customStyle="1" w:styleId="90">
    <w:name w:val="a10"/>
    <w:basedOn w:val="37"/>
    <w:uiPriority w:val="0"/>
    <w:rPr/>
  </w:style>
  <w:style w:type="character" w:customStyle="1" w:styleId="91">
    <w:name w:val="HTML 预设格式 Char"/>
    <w:basedOn w:val="37"/>
    <w:link w:val="35"/>
    <w:uiPriority w:val="99"/>
    <w:rPr>
      <w:rFonts w:ascii="宋体" w:hAnsi="宋体" w:eastAsia="宋体" w:cs="Times New Roman"/>
      <w:kern w:val="0"/>
      <w:sz w:val="24"/>
      <w:szCs w:val="24"/>
    </w:rPr>
  </w:style>
  <w:style w:type="character" w:customStyle="1" w:styleId="92">
    <w:name w:val="样式 标题 3 + (西文) Times New Roman (中文) 黑体 四号 Char"/>
    <w:link w:val="55"/>
    <w:uiPriority w:val="0"/>
    <w:rPr>
      <w:rFonts w:ascii="Arial" w:hAnsi="Arial" w:eastAsia="黑体" w:cs="Times New Roman"/>
      <w:bCs/>
      <w:sz w:val="28"/>
      <w:szCs w:val="32"/>
    </w:rPr>
  </w:style>
  <w:style w:type="character" w:customStyle="1" w:styleId="93">
    <w:name w:val="正文文本缩进 2 Char"/>
    <w:basedOn w:val="37"/>
    <w:link w:val="21"/>
    <w:uiPriority w:val="0"/>
    <w:rPr>
      <w:rFonts w:ascii="Times New Roman" w:hAnsi="Times New Roman" w:eastAsia="宋体" w:cs="Times New Roman"/>
      <w:szCs w:val="20"/>
    </w:rPr>
  </w:style>
  <w:style w:type="character" w:customStyle="1" w:styleId="94">
    <w:name w:val="hps"/>
    <w:basedOn w:val="37"/>
    <w:uiPriority w:val="0"/>
    <w:rPr/>
  </w:style>
  <w:style w:type="character" w:customStyle="1" w:styleId="95">
    <w:name w:val="short_text"/>
    <w:basedOn w:val="37"/>
    <w:uiPriority w:val="0"/>
    <w:rPr/>
  </w:style>
  <w:style w:type="character" w:customStyle="1" w:styleId="96">
    <w:name w:val="px14"/>
    <w:basedOn w:val="37"/>
    <w:uiPriority w:val="0"/>
    <w:rPr/>
  </w:style>
  <w:style w:type="character" w:customStyle="1" w:styleId="97">
    <w:name w:val="st1"/>
    <w:basedOn w:val="37"/>
    <w:uiPriority w:val="0"/>
    <w:rPr/>
  </w:style>
  <w:style w:type="character" w:customStyle="1" w:styleId="98">
    <w:name w:val="副标题 Char"/>
    <w:basedOn w:val="37"/>
    <w:link w:val="28"/>
    <w:uiPriority w:val="11"/>
    <w:rPr>
      <w:rFonts w:ascii="Cambria" w:hAnsi="Cambria" w:eastAsia="宋体" w:cs="黑体"/>
      <w:b/>
      <w:bCs/>
      <w:kern w:val="28"/>
      <w:sz w:val="32"/>
      <w:szCs w:val="32"/>
    </w:rPr>
  </w:style>
  <w:style w:type="character" w:customStyle="1" w:styleId="99">
    <w:name w:val="apple-converted-space"/>
    <w:basedOn w:val="37"/>
    <w:uiPriority w:val="0"/>
    <w:rPr/>
  </w:style>
  <w:style w:type="character" w:customStyle="1" w:styleId="100">
    <w:name w:val="标题 4 Char"/>
    <w:basedOn w:val="37"/>
    <w:link w:val="5"/>
    <w:uiPriority w:val="9"/>
    <w:rPr>
      <w:rFonts w:ascii="Cambria" w:hAnsi="Cambria" w:eastAsia="黑体" w:cs="黑体"/>
      <w:bCs/>
      <w:sz w:val="24"/>
      <w:szCs w:val="28"/>
    </w:rPr>
  </w:style>
  <w:style w:type="character" w:customStyle="1" w:styleId="101">
    <w:name w:val="Normal New Char"/>
    <w:basedOn w:val="37"/>
    <w:link w:val="68"/>
    <w:locked/>
    <w:uiPriority w:val="0"/>
    <w:rPr>
      <w:rFonts w:ascii="Times New Roman" w:hAnsi="Times New Roman" w:eastAsia="宋体" w:cs="Times New Roman"/>
      <w:szCs w:val="20"/>
    </w:rPr>
  </w:style>
  <w:style w:type="character" w:customStyle="1" w:styleId="102">
    <w:name w:val="ilh-link"/>
    <w:basedOn w:val="37"/>
    <w:uiPriority w:val="0"/>
    <w:rPr/>
  </w:style>
  <w:style w:type="character" w:customStyle="1" w:styleId="103">
    <w:name w:val="langwithname"/>
    <w:basedOn w:val="37"/>
    <w:uiPriority w:val="0"/>
    <w:rPr/>
  </w:style>
  <w:style w:type="character" w:customStyle="1" w:styleId="104">
    <w:name w:val="批注文字 Char"/>
    <w:basedOn w:val="37"/>
    <w:link w:val="7"/>
    <w:semiHidden/>
    <w:uiPriority w:val="0"/>
    <w:rPr>
      <w:rFonts w:ascii="Times New Roman" w:hAnsi="Times New Roman" w:eastAsia="PMingLiU" w:cs="Times New Roman"/>
      <w:sz w:val="24"/>
      <w:szCs w:val="24"/>
      <w:lang w:eastAsia="zh-TW"/>
    </w:rPr>
  </w:style>
  <w:style w:type="character" w:customStyle="1" w:styleId="105">
    <w:name w:val="批注主题 Char"/>
    <w:basedOn w:val="104"/>
    <w:link w:val="6"/>
    <w:semiHidden/>
    <w:uiPriority w:val="0"/>
    <w:rPr>
      <w:rFonts w:ascii="Times New Roman" w:hAnsi="Times New Roman" w:eastAsia="PMingLiU" w:cs="Times New Roman"/>
      <w:b/>
      <w:bCs/>
      <w:sz w:val="24"/>
      <w:szCs w:val="24"/>
      <w:lang w:eastAsia="zh-TW"/>
    </w:rPr>
  </w:style>
  <w:style w:type="character" w:customStyle="1" w:styleId="106">
    <w:name w:val="style2"/>
    <w:basedOn w:val="37"/>
    <w:uiPriority w:val="0"/>
    <w:rPr/>
  </w:style>
  <w:style w:type="character" w:customStyle="1" w:styleId="107">
    <w:name w:val="称呼 Char"/>
    <w:basedOn w:val="37"/>
    <w:link w:val="12"/>
    <w:uiPriority w:val="0"/>
    <w:rPr>
      <w:rFonts w:ascii="Times New Roman" w:hAnsi="Times New Roman" w:eastAsia="PMingLiU" w:cs="Times New Roman"/>
      <w:sz w:val="24"/>
      <w:szCs w:val="24"/>
      <w:lang w:eastAsia="zh-TW"/>
    </w:rPr>
  </w:style>
  <w:style w:type="character" w:customStyle="1" w:styleId="108">
    <w:name w:val="结束语 Char"/>
    <w:basedOn w:val="37"/>
    <w:link w:val="13"/>
    <w:uiPriority w:val="0"/>
    <w:rPr>
      <w:rFonts w:ascii="Times New Roman" w:hAnsi="Times New Roman" w:eastAsia="PMingLiU" w:cs="Times New Roman"/>
      <w:sz w:val="24"/>
      <w:szCs w:val="24"/>
      <w:lang w:eastAsia="zh-TW"/>
    </w:rPr>
  </w:style>
  <w:style w:type="character" w:customStyle="1" w:styleId="109">
    <w:name w:val="正文文本 2 Char"/>
    <w:basedOn w:val="37"/>
    <w:link w:val="34"/>
    <w:uiPriority w:val="0"/>
    <w:rPr>
      <w:rFonts w:ascii="Times New Roman" w:hAnsi="Times New Roman" w:eastAsia="PMingLiU" w:cs="Times New Roman"/>
      <w:kern w:val="0"/>
      <w:sz w:val="20"/>
      <w:szCs w:val="20"/>
      <w:lang w:eastAsia="zh-TW"/>
    </w:rPr>
  </w:style>
  <w:style w:type="character" w:customStyle="1" w:styleId="110">
    <w:name w:val="纯文本 Char"/>
    <w:basedOn w:val="37"/>
    <w:link w:val="19"/>
    <w:uiPriority w:val="0"/>
    <w:rPr>
      <w:rFonts w:ascii="MingLiU" w:hAnsi="Courier New" w:eastAsia="MingLiU" w:cs="Courier New"/>
      <w:sz w:val="24"/>
      <w:szCs w:val="24"/>
      <w:lang w:eastAsia="zh-TW"/>
    </w:rPr>
  </w:style>
  <w:style w:type="character" w:customStyle="1" w:styleId="111">
    <w:name w:val="正文文本缩进 3 Char"/>
    <w:basedOn w:val="37"/>
    <w:link w:val="31"/>
    <w:uiPriority w:val="0"/>
    <w:rPr>
      <w:rFonts w:ascii="Times New Roman" w:hAnsi="Times New Roman" w:eastAsia="DFKai-SB" w:cs="Times New Roman"/>
      <w:sz w:val="24"/>
      <w:szCs w:val="24"/>
      <w:lang w:eastAsia="zh-TW"/>
    </w:rPr>
  </w:style>
  <w:style w:type="character" w:customStyle="1" w:styleId="112">
    <w:name w:val="sub20"/>
    <w:basedOn w:val="37"/>
    <w:uiPriority w:val="0"/>
    <w:rPr>
      <w:rFonts w:cs="Times New Roman"/>
    </w:rPr>
  </w:style>
  <w:style w:type="character" w:customStyle="1" w:styleId="113">
    <w:name w:val="sub15h1"/>
    <w:basedOn w:val="37"/>
    <w:uiPriority w:val="0"/>
    <w:rPr>
      <w:rFonts w:ascii="s?" w:hAnsi="s?" w:cs="Times New Roman"/>
      <w:b/>
      <w:bCs/>
      <w:color w:val="CC3333"/>
      <w:spacing w:val="480"/>
      <w:sz w:val="15"/>
      <w:szCs w:val="15"/>
      <w:u w:val="none"/>
    </w:rPr>
  </w:style>
  <w:style w:type="character" w:customStyle="1" w:styleId="114">
    <w:name w:val="apple-style-span"/>
    <w:basedOn w:val="37"/>
    <w:uiPriority w:val="0"/>
    <w:rPr>
      <w:rFonts w:cs="Times New Roman"/>
    </w:rPr>
  </w:style>
  <w:style w:type="character" w:customStyle="1" w:styleId="115">
    <w:name w:val="Footer Char"/>
    <w:basedOn w:val="37"/>
    <w:semiHidden/>
    <w:locked/>
    <w:uiPriority w:val="0"/>
    <w:rPr>
      <w:rFonts w:eastAsia="華康隸書體" w:cs="Times New Roman"/>
      <w:kern w:val="0"/>
      <w:sz w:val="20"/>
      <w:szCs w:val="20"/>
    </w:rPr>
  </w:style>
  <w:style w:type="character" w:customStyle="1" w:styleId="116">
    <w:name w:val="Header Char"/>
    <w:basedOn w:val="37"/>
    <w:locked/>
    <w:uiPriority w:val="0"/>
    <w:rPr>
      <w:rFonts w:eastAsia="華康隸書體"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3" Type="http://schemas.openxmlformats.org/officeDocument/2006/relationships/settings" Target="settings.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tyles" Target="style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4027</Words>
  <Characters>22957</Characters>
  <Lines>191</Lines>
  <Paragraphs>53</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2014-09-04T02:47:00Z</dcterms:created>
  <dc:creator>admin</dc:creator>
  <cp:lastModifiedBy>ALLINA</cp:lastModifiedBy>
  <cp:lastPrinted>2014-09-21T10:15:00Z</cp:lastPrinted>
  <dcterms:modified xsi:type="dcterms:W3CDTF">2015-04-13T00:14:51Z</dcterms:modified>
  <dc:title>跨境毒品販運分析與打擊對策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